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51E" w:rsidRDefault="004C1C04">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lang w:val="ru"/>
        </w:rPr>
      </w:r>
      <w:r>
        <w:rPr>
          <w:rFonts w:ascii="Times New Roman" w:eastAsia="Times New Roman" w:hAnsi="Times New Roman" w:cs="Times New Roman"/>
          <w:sz w:val="20"/>
          <w:szCs w:val="20"/>
          <w:lang w:val="ru"/>
        </w:rPr>
        <w:pict>
          <v:group id="_x0000_s1031" style="width:595.35pt;height:323.75pt;mso-position-horizontal-relative:char;mso-position-vertical-relative:line" coordsize="11907,6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11906;height:6475">
              <v:imagedata r:id="rId7" o:title=""/>
            </v:shape>
            <v:shapetype id="_x0000_t202" coordsize="21600,21600" o:spt="202" path="m,l,21600r21600,l21600,xe">
              <v:stroke joinstyle="miter"/>
              <v:path gradientshapeok="t" o:connecttype="rect"/>
            </v:shapetype>
            <v:shape id="_x0000_s1033" type="#_x0000_t202" style="position:absolute;left:7538;top:3680;width:2949;height:360" filled="f" stroked="f">
              <v:textbox inset="0,0,0,0">
                <w:txbxContent>
                  <w:p w:rsidR="007E551E" w:rsidRDefault="0091635B">
                    <w:pPr>
                      <w:spacing w:line="351" w:lineRule="exact"/>
                      <w:ind w:left="20"/>
                      <w:rPr>
                        <w:rFonts w:ascii="Tahoma" w:eastAsia="Tahoma" w:hAnsi="Tahoma" w:cs="Tahoma"/>
                        <w:sz w:val="32"/>
                        <w:szCs w:val="32"/>
                      </w:rPr>
                    </w:pPr>
                    <w:r>
                      <w:rPr>
                        <w:rFonts w:ascii="Tahoma" w:hAnsi="Tahoma"/>
                        <w:color w:val="FFFFFF"/>
                        <w:sz w:val="32"/>
                        <w:lang w:val="ru"/>
                      </w:rPr>
                      <w:t>ТЕХНИЧЕСКИЙ ОТЧЕТ</w:t>
                    </w:r>
                  </w:p>
                </w:txbxContent>
              </v:textbox>
            </v:shape>
            <v:shape id="_x0000_s1032" type="#_x0000_t202" style="position:absolute;left:1509;top:4431;width:8979;height:1898" filled="f" stroked="f">
              <v:textbox inset="0,0,0,0">
                <w:txbxContent>
                  <w:p w:rsidR="007E551E" w:rsidRPr="00B22A87" w:rsidRDefault="0091635B">
                    <w:pPr>
                      <w:spacing w:line="393" w:lineRule="exact"/>
                      <w:ind w:right="18"/>
                      <w:jc w:val="right"/>
                      <w:rPr>
                        <w:rFonts w:ascii="Tahoma" w:eastAsia="Tahoma" w:hAnsi="Tahoma" w:cs="Tahoma"/>
                        <w:sz w:val="36"/>
                        <w:szCs w:val="36"/>
                        <w:lang w:val="ru-RU"/>
                      </w:rPr>
                    </w:pPr>
                    <w:bookmarkStart w:id="0" w:name="Public_health_management_of_persons_havi"/>
                    <w:bookmarkEnd w:id="0"/>
                    <w:r>
                      <w:rPr>
                        <w:rFonts w:ascii="Tahoma" w:hAnsi="Tahoma"/>
                        <w:b/>
                        <w:bCs/>
                        <w:color w:val="FFFFFF"/>
                        <w:sz w:val="36"/>
                        <w:lang w:val="ru"/>
                      </w:rPr>
                      <w:t xml:space="preserve">Ведение </w:t>
                    </w:r>
                    <w:r>
                      <w:rPr>
                        <w:rFonts w:ascii="Tahoma" w:hAnsi="Tahoma"/>
                        <w:b/>
                        <w:bCs/>
                        <w:color w:val="FFFFFF"/>
                        <w:sz w:val="36"/>
                        <w:lang w:val="ru"/>
                      </w:rPr>
                      <w:t>лиц, имевших контакт с больными</w:t>
                    </w:r>
                  </w:p>
                  <w:p w:rsidR="007E551E" w:rsidRPr="00B22A87" w:rsidRDefault="0091635B">
                    <w:pPr>
                      <w:ind w:right="18"/>
                      <w:jc w:val="right"/>
                      <w:rPr>
                        <w:rFonts w:ascii="Tahoma" w:eastAsia="Tahoma" w:hAnsi="Tahoma" w:cs="Tahoma"/>
                        <w:sz w:val="36"/>
                        <w:szCs w:val="36"/>
                        <w:lang w:val="ru-RU"/>
                      </w:rPr>
                    </w:pPr>
                    <w:r>
                      <w:rPr>
                        <w:rFonts w:ascii="Tahoma" w:hAnsi="Tahoma"/>
                        <w:b/>
                        <w:bCs/>
                        <w:color w:val="FFFFFF"/>
                        <w:sz w:val="36"/>
                        <w:lang w:val="ru"/>
                      </w:rPr>
                      <w:t>новым коронавирусом, в системе здравоохранения</w:t>
                    </w:r>
                  </w:p>
                  <w:p w:rsidR="007E551E" w:rsidRPr="00B22A87" w:rsidRDefault="0091635B">
                    <w:pPr>
                      <w:ind w:right="18"/>
                      <w:jc w:val="right"/>
                      <w:rPr>
                        <w:rFonts w:ascii="Tahoma" w:eastAsia="Tahoma" w:hAnsi="Tahoma" w:cs="Tahoma"/>
                        <w:sz w:val="36"/>
                        <w:szCs w:val="36"/>
                        <w:lang w:val="ru-RU"/>
                      </w:rPr>
                    </w:pPr>
                    <w:r>
                      <w:rPr>
                        <w:rFonts w:ascii="Tahoma" w:hAnsi="Tahoma"/>
                        <w:b/>
                        <w:bCs/>
                        <w:color w:val="FFFFFF"/>
                        <w:sz w:val="36"/>
                        <w:lang w:val="ru"/>
                      </w:rPr>
                      <w:t>Европейского Союза</w:t>
                    </w:r>
                  </w:p>
                  <w:p w:rsidR="007E551E" w:rsidRDefault="0091635B">
                    <w:pPr>
                      <w:spacing w:before="241"/>
                      <w:ind w:right="33"/>
                      <w:jc w:val="right"/>
                      <w:rPr>
                        <w:rFonts w:ascii="Tahoma" w:eastAsia="Tahoma" w:hAnsi="Tahoma" w:cs="Tahoma"/>
                        <w:sz w:val="32"/>
                        <w:szCs w:val="32"/>
                      </w:rPr>
                    </w:pPr>
                    <w:r>
                      <w:rPr>
                        <w:rFonts w:ascii="Tahoma" w:hAnsi="Tahoma"/>
                        <w:color w:val="FFFFFF"/>
                        <w:sz w:val="32"/>
                        <w:lang w:val="ru"/>
                      </w:rPr>
                      <w:t>30 января 2020</w:t>
                    </w:r>
                  </w:p>
                </w:txbxContent>
              </v:textbox>
            </v:shape>
            <w10:anchorlock/>
          </v:group>
        </w:pict>
      </w:r>
    </w:p>
    <w:p w:rsidR="007E551E" w:rsidRDefault="007E551E">
      <w:pPr>
        <w:spacing w:line="200" w:lineRule="atLeast"/>
        <w:rPr>
          <w:rFonts w:ascii="Times New Roman" w:eastAsia="Times New Roman" w:hAnsi="Times New Roman" w:cs="Times New Roman"/>
          <w:sz w:val="17"/>
          <w:szCs w:val="17"/>
        </w:rPr>
      </w:pPr>
    </w:p>
    <w:p w:rsidR="007E551E" w:rsidRDefault="007E551E">
      <w:pPr>
        <w:spacing w:line="200" w:lineRule="atLeast"/>
        <w:rPr>
          <w:rFonts w:ascii="Times New Roman" w:eastAsia="Times New Roman" w:hAnsi="Times New Roman" w:cs="Times New Roman"/>
          <w:sz w:val="17"/>
          <w:szCs w:val="17"/>
        </w:rPr>
      </w:pPr>
    </w:p>
    <w:p w:rsidR="007E551E" w:rsidRDefault="007E551E">
      <w:pPr>
        <w:spacing w:before="9" w:line="220" w:lineRule="atLeast"/>
        <w:rPr>
          <w:rFonts w:ascii="Times New Roman" w:eastAsia="Times New Roman" w:hAnsi="Times New Roman" w:cs="Times New Roman"/>
          <w:sz w:val="19"/>
          <w:szCs w:val="19"/>
        </w:rPr>
      </w:pPr>
    </w:p>
    <w:p w:rsidR="007E551E" w:rsidRPr="00B22A87" w:rsidRDefault="0091635B">
      <w:pPr>
        <w:pStyle w:val="Heading1"/>
        <w:spacing w:before="32"/>
        <w:rPr>
          <w:b w:val="0"/>
          <w:bCs w:val="0"/>
          <w:lang w:val="ru-RU"/>
        </w:rPr>
      </w:pPr>
      <w:r>
        <w:rPr>
          <w:color w:val="69AD22"/>
          <w:lang w:val="ru"/>
        </w:rPr>
        <w:t>История вопроса</w:t>
      </w:r>
    </w:p>
    <w:p w:rsidR="007E551E" w:rsidRPr="00B22A87" w:rsidRDefault="0091635B">
      <w:pPr>
        <w:pStyle w:val="BodyText"/>
        <w:spacing w:before="241"/>
        <w:ind w:left="1440" w:right="1561" w:hanging="1"/>
        <w:rPr>
          <w:lang w:val="ru-RU"/>
        </w:rPr>
      </w:pPr>
      <w:r>
        <w:rPr>
          <w:lang w:val="ru"/>
        </w:rPr>
        <w:t>Быстро меняющаяся эпидемиологическая ситуация вокруг эпидемии нового коронавируса (2019-nCoV) вынуждает стран-членов ЕС не только пересматривать ведение больных, но и порядок работы с лицами, контактировавшими с вновь выявленными случаями («контакты»). Настоящий материал можно использовать в тандеме с руководством ВОЗ «Домашний уход за больными с подозрениями на новый коронавирус (2019-nCoV) с легкими симптомами, и ведение контактов» [1].</w:t>
      </w:r>
    </w:p>
    <w:p w:rsidR="007E551E" w:rsidRPr="00B22A87" w:rsidRDefault="007E551E">
      <w:pPr>
        <w:spacing w:before="17" w:line="220" w:lineRule="atLeast"/>
        <w:rPr>
          <w:rFonts w:ascii="Tahoma" w:eastAsia="Tahoma" w:hAnsi="Tahoma" w:cs="Tahoma"/>
          <w:sz w:val="18"/>
          <w:szCs w:val="18"/>
          <w:lang w:val="ru-RU"/>
        </w:rPr>
      </w:pPr>
    </w:p>
    <w:p w:rsidR="007E551E" w:rsidRPr="00B22A87" w:rsidRDefault="0091635B">
      <w:pPr>
        <w:pStyle w:val="Heading1"/>
        <w:rPr>
          <w:b w:val="0"/>
          <w:bCs w:val="0"/>
          <w:lang w:val="ru-RU"/>
        </w:rPr>
      </w:pPr>
      <w:r>
        <w:rPr>
          <w:color w:val="69AD22"/>
          <w:lang w:val="ru"/>
        </w:rPr>
        <w:t>Предмет материала</w:t>
      </w:r>
    </w:p>
    <w:p w:rsidR="007E551E" w:rsidRPr="00B22A87" w:rsidRDefault="0091635B">
      <w:pPr>
        <w:pStyle w:val="BodyText"/>
        <w:spacing w:before="241"/>
        <w:ind w:left="1440" w:right="1561" w:hanging="1"/>
        <w:rPr>
          <w:lang w:val="ru-RU"/>
        </w:rPr>
      </w:pPr>
      <w:r>
        <w:rPr>
          <w:lang w:val="ru"/>
        </w:rPr>
        <w:t>Настоящий методический материал предназначен для органов здравоохранения ЕС/ЕЭЗ, и посвящен ведению лиц, имевших контакт с больными новым коронавирусом.</w:t>
      </w:r>
    </w:p>
    <w:p w:rsidR="007E551E" w:rsidRPr="00B22A87" w:rsidRDefault="007E551E">
      <w:pPr>
        <w:spacing w:before="17" w:line="220" w:lineRule="atLeast"/>
        <w:rPr>
          <w:rFonts w:ascii="Tahoma" w:eastAsia="Tahoma" w:hAnsi="Tahoma" w:cs="Tahoma"/>
          <w:sz w:val="18"/>
          <w:szCs w:val="18"/>
          <w:lang w:val="ru-RU"/>
        </w:rPr>
      </w:pPr>
    </w:p>
    <w:p w:rsidR="007E551E" w:rsidRPr="00B22A87" w:rsidRDefault="0091635B">
      <w:pPr>
        <w:pStyle w:val="Heading1"/>
        <w:rPr>
          <w:b w:val="0"/>
          <w:bCs w:val="0"/>
          <w:lang w:val="ru-RU"/>
        </w:rPr>
      </w:pPr>
      <w:r>
        <w:rPr>
          <w:color w:val="69AD22"/>
          <w:lang w:val="ru"/>
        </w:rPr>
        <w:t>Целевая аудитория</w:t>
      </w:r>
    </w:p>
    <w:p w:rsidR="007E551E" w:rsidRPr="00B22A87" w:rsidRDefault="0091635B">
      <w:pPr>
        <w:pStyle w:val="BodyText"/>
        <w:spacing w:before="243"/>
        <w:ind w:left="1440" w:firstLine="0"/>
        <w:rPr>
          <w:lang w:val="ru-RU"/>
        </w:rPr>
      </w:pPr>
      <w:r>
        <w:rPr>
          <w:lang w:val="ru"/>
        </w:rPr>
        <w:t>Специалисты системы здравоохранения и медработники в странах-членах ЕС/ЕЭЗ.</w:t>
      </w:r>
    </w:p>
    <w:p w:rsidR="007E551E" w:rsidRPr="00B22A87" w:rsidRDefault="007E551E">
      <w:pPr>
        <w:spacing w:before="17" w:line="220" w:lineRule="atLeast"/>
        <w:rPr>
          <w:rFonts w:ascii="Tahoma" w:eastAsia="Tahoma" w:hAnsi="Tahoma" w:cs="Tahoma"/>
          <w:sz w:val="18"/>
          <w:szCs w:val="18"/>
          <w:lang w:val="ru-RU"/>
        </w:rPr>
      </w:pPr>
    </w:p>
    <w:p w:rsidR="007E551E" w:rsidRPr="00B22A87" w:rsidRDefault="0091635B">
      <w:pPr>
        <w:pStyle w:val="Heading1"/>
        <w:rPr>
          <w:b w:val="0"/>
          <w:bCs w:val="0"/>
          <w:lang w:val="ru-RU"/>
        </w:rPr>
      </w:pPr>
      <w:r>
        <w:rPr>
          <w:color w:val="69AD22"/>
          <w:lang w:val="ru"/>
        </w:rPr>
        <w:t>Назначение ведения контактов</w:t>
      </w:r>
    </w:p>
    <w:p w:rsidR="007E551E" w:rsidRPr="00B22A87" w:rsidRDefault="0091635B">
      <w:pPr>
        <w:pStyle w:val="BodyText"/>
        <w:spacing w:before="241"/>
        <w:ind w:left="1440" w:firstLine="0"/>
        <w:rPr>
          <w:lang w:val="ru-RU"/>
        </w:rPr>
      </w:pPr>
      <w:r>
        <w:rPr>
          <w:lang w:val="ru"/>
        </w:rPr>
        <w:t>Назначение ведения контактов больных 2019-nCoV состоит в:</w:t>
      </w:r>
    </w:p>
    <w:p w:rsidR="007E551E" w:rsidRPr="00B22A87" w:rsidRDefault="0091635B">
      <w:pPr>
        <w:pStyle w:val="BodyText"/>
        <w:numPr>
          <w:ilvl w:val="0"/>
          <w:numId w:val="4"/>
        </w:numPr>
        <w:tabs>
          <w:tab w:val="left" w:pos="1724"/>
        </w:tabs>
        <w:spacing w:before="114"/>
        <w:ind w:hanging="283"/>
        <w:rPr>
          <w:lang w:val="ru-RU"/>
        </w:rPr>
      </w:pPr>
      <w:r>
        <w:rPr>
          <w:lang w:val="ru"/>
        </w:rPr>
        <w:t>выявлении симптоматичных больных как можно скорее для изолирования и лечения;</w:t>
      </w:r>
    </w:p>
    <w:p w:rsidR="007E551E" w:rsidRPr="00B22A87" w:rsidRDefault="0091635B">
      <w:pPr>
        <w:pStyle w:val="BodyText"/>
        <w:numPr>
          <w:ilvl w:val="0"/>
          <w:numId w:val="4"/>
        </w:numPr>
        <w:tabs>
          <w:tab w:val="left" w:pos="1724"/>
        </w:tabs>
        <w:spacing w:before="3"/>
        <w:ind w:hanging="283"/>
        <w:rPr>
          <w:lang w:val="ru-RU"/>
        </w:rPr>
      </w:pPr>
      <w:r>
        <w:rPr>
          <w:lang w:val="ru"/>
        </w:rPr>
        <w:t>упрощении срочных диагностических исследований в лабораториях.</w:t>
      </w:r>
    </w:p>
    <w:p w:rsidR="007E551E" w:rsidRPr="00B22A87" w:rsidRDefault="007E551E">
      <w:pPr>
        <w:spacing w:before="7" w:line="240" w:lineRule="atLeast"/>
        <w:rPr>
          <w:rFonts w:ascii="Tahoma" w:eastAsia="Tahoma" w:hAnsi="Tahoma" w:cs="Tahoma"/>
          <w:sz w:val="19"/>
          <w:szCs w:val="19"/>
          <w:lang w:val="ru-RU"/>
        </w:rPr>
      </w:pPr>
    </w:p>
    <w:p w:rsidR="007E551E" w:rsidRPr="00B22A87" w:rsidRDefault="0091635B">
      <w:pPr>
        <w:pStyle w:val="Heading1"/>
        <w:rPr>
          <w:b w:val="0"/>
          <w:bCs w:val="0"/>
          <w:lang w:val="ru-RU"/>
        </w:rPr>
      </w:pPr>
      <w:r>
        <w:rPr>
          <w:color w:val="69AD22"/>
          <w:lang w:val="ru"/>
        </w:rPr>
        <w:t>Определение контактировавших лиц</w:t>
      </w:r>
    </w:p>
    <w:p w:rsidR="007E551E" w:rsidRPr="00B22A87" w:rsidRDefault="0091635B">
      <w:pPr>
        <w:pStyle w:val="BodyText"/>
        <w:spacing w:before="241"/>
        <w:ind w:left="1440" w:right="1561" w:hanging="1"/>
        <w:rPr>
          <w:lang w:val="ru-RU"/>
        </w:rPr>
      </w:pPr>
      <w:r>
        <w:rPr>
          <w:lang w:val="ru"/>
        </w:rPr>
        <w:t>«Контакт» инфекции 2019-nCoV — это лицо, которое в настоящее время не показывает симптомов, и которое контактировало или могло контактировать с больным 2019-nCoV. Связанный с этим риск инфицирования зависит от степени контактирования, которая, в свою очередь, определяет категорию мониторинга. Определение степени контактирования может представить трудности, и требует собеседования с данным лицом.</w:t>
      </w:r>
    </w:p>
    <w:p w:rsidR="007E551E" w:rsidRPr="00B22A87" w:rsidRDefault="007E551E">
      <w:pPr>
        <w:spacing w:before="15" w:line="200" w:lineRule="atLeast"/>
        <w:rPr>
          <w:rFonts w:ascii="Tahoma" w:eastAsia="Tahoma" w:hAnsi="Tahoma" w:cs="Tahoma"/>
          <w:sz w:val="16"/>
          <w:szCs w:val="16"/>
          <w:lang w:val="ru-RU"/>
        </w:rPr>
      </w:pPr>
    </w:p>
    <w:p w:rsidR="007E551E" w:rsidRDefault="00B22A87">
      <w:pPr>
        <w:spacing w:line="20" w:lineRule="atLeast"/>
        <w:ind w:left="1440"/>
        <w:rPr>
          <w:rFonts w:ascii="Tahoma" w:eastAsia="Tahoma" w:hAnsi="Tahoma" w:cs="Tahoma"/>
          <w:sz w:val="2"/>
          <w:szCs w:val="2"/>
        </w:rPr>
      </w:pPr>
      <w:r>
        <w:rPr>
          <w:rFonts w:ascii="Tahoma" w:eastAsia="Tahoma" w:hAnsi="Tahoma" w:cs="Tahoma"/>
          <w:sz w:val="2"/>
          <w:szCs w:val="2"/>
          <w:lang w:val="ru"/>
        </w:rPr>
        <w:pict>
          <v:shape id="_x0000_i1026" type="#_x0000_t75" style="width:452.95pt;height:.55pt;mso-position-horizontal-relative:char;mso-position-vertical-relative:line">
            <v:imagedata r:id="rId8" o:title=""/>
          </v:shape>
        </w:pict>
      </w:r>
    </w:p>
    <w:p w:rsidR="007E551E" w:rsidRDefault="0091635B">
      <w:pPr>
        <w:spacing w:before="157" w:line="250" w:lineRule="auto"/>
        <w:ind w:left="1440" w:right="1778"/>
        <w:rPr>
          <w:rFonts w:ascii="Tahoma" w:eastAsia="Tahoma" w:hAnsi="Tahoma" w:cs="Tahoma"/>
          <w:sz w:val="16"/>
          <w:szCs w:val="16"/>
        </w:rPr>
      </w:pPr>
      <w:r>
        <w:rPr>
          <w:rFonts w:ascii="Tahoma" w:hAnsi="Tahoma"/>
          <w:sz w:val="16"/>
          <w:lang w:val="ru"/>
        </w:rPr>
        <w:t>Рекомендованный</w:t>
      </w:r>
      <w:r w:rsidRPr="00B22A87">
        <w:rPr>
          <w:rFonts w:ascii="Tahoma" w:hAnsi="Tahoma"/>
          <w:sz w:val="16"/>
        </w:rPr>
        <w:t xml:space="preserve"> </w:t>
      </w:r>
      <w:r>
        <w:rPr>
          <w:rFonts w:ascii="Tahoma" w:hAnsi="Tahoma"/>
          <w:sz w:val="16"/>
          <w:lang w:val="ru"/>
        </w:rPr>
        <w:t>материал</w:t>
      </w:r>
      <w:r w:rsidRPr="00B22A87">
        <w:rPr>
          <w:rFonts w:ascii="Tahoma" w:hAnsi="Tahoma"/>
          <w:sz w:val="16"/>
        </w:rPr>
        <w:t xml:space="preserve">: European Centre for Disease Prevention and Control. Public health management of persons having had contact with cases of novel coronavirus in the European Union, 30 January 2020. </w:t>
      </w:r>
      <w:r>
        <w:rPr>
          <w:rFonts w:ascii="Tahoma" w:hAnsi="Tahoma"/>
          <w:sz w:val="16"/>
          <w:lang w:val="ru"/>
        </w:rPr>
        <w:t>Stockholm: ECDC; 2020.</w:t>
      </w:r>
    </w:p>
    <w:p w:rsidR="007E551E" w:rsidRDefault="007E551E">
      <w:pPr>
        <w:spacing w:before="3" w:line="160" w:lineRule="atLeast"/>
        <w:rPr>
          <w:rFonts w:ascii="Tahoma" w:eastAsia="Tahoma" w:hAnsi="Tahoma" w:cs="Tahoma"/>
          <w:sz w:val="13"/>
          <w:szCs w:val="13"/>
        </w:rPr>
      </w:pPr>
    </w:p>
    <w:p w:rsidR="007E551E" w:rsidRDefault="0091635B">
      <w:pPr>
        <w:ind w:left="1440"/>
        <w:rPr>
          <w:rFonts w:ascii="Tahoma" w:eastAsia="Tahoma" w:hAnsi="Tahoma" w:cs="Tahoma"/>
          <w:sz w:val="16"/>
          <w:szCs w:val="16"/>
        </w:rPr>
      </w:pPr>
      <w:r>
        <w:rPr>
          <w:rFonts w:ascii="Tahoma" w:hAnsi="Tahoma"/>
          <w:sz w:val="16"/>
          <w:lang w:val="ru"/>
        </w:rPr>
        <w:t>© Европейский центр профилактики и контроля заболеваний, Стокгольм, 2020</w:t>
      </w:r>
    </w:p>
    <w:p w:rsidR="007E551E" w:rsidRDefault="007E551E">
      <w:pPr>
        <w:rPr>
          <w:rFonts w:ascii="Tahoma" w:eastAsia="Tahoma" w:hAnsi="Tahoma" w:cs="Tahoma"/>
          <w:sz w:val="16"/>
          <w:szCs w:val="16"/>
        </w:rPr>
        <w:sectPr w:rsidR="007E551E">
          <w:type w:val="continuous"/>
          <w:pgSz w:w="11910" w:h="16850"/>
          <w:pgMar w:top="0" w:right="0" w:bottom="280" w:left="0" w:header="720" w:footer="720" w:gutter="0"/>
          <w:cols w:space="720"/>
        </w:sectPr>
      </w:pPr>
    </w:p>
    <w:p w:rsidR="007E551E" w:rsidRDefault="007E551E">
      <w:pPr>
        <w:spacing w:before="3" w:line="220" w:lineRule="atLeast"/>
        <w:rPr>
          <w:rFonts w:ascii="Tahoma" w:eastAsia="Tahoma" w:hAnsi="Tahoma" w:cs="Tahoma"/>
          <w:sz w:val="18"/>
          <w:szCs w:val="18"/>
        </w:rPr>
      </w:pPr>
    </w:p>
    <w:p w:rsidR="007E551E" w:rsidRPr="00B22A87" w:rsidRDefault="0091635B">
      <w:pPr>
        <w:pStyle w:val="Heading2"/>
        <w:numPr>
          <w:ilvl w:val="0"/>
          <w:numId w:val="3"/>
        </w:numPr>
        <w:tabs>
          <w:tab w:val="left" w:pos="495"/>
        </w:tabs>
        <w:spacing w:before="67"/>
        <w:ind w:hanging="374"/>
        <w:rPr>
          <w:b w:val="0"/>
          <w:bCs w:val="0"/>
          <w:lang w:val="ru-RU"/>
        </w:rPr>
      </w:pPr>
      <w:r>
        <w:rPr>
          <w:color w:val="69AD22"/>
          <w:lang w:val="ru"/>
        </w:rPr>
        <w:t>Близкие контакты</w:t>
      </w:r>
      <w:r w:rsidR="004C1C04">
        <w:fldChar w:fldCharType="begin"/>
      </w:r>
      <w:r w:rsidR="004C1C04" w:rsidRPr="00B22A87">
        <w:rPr>
          <w:lang w:val="ru-RU"/>
        </w:rPr>
        <w:instrText xml:space="preserve"> </w:instrText>
      </w:r>
      <w:r w:rsidR="004C1C04">
        <w:instrText>HYPERLINK</w:instrText>
      </w:r>
      <w:r w:rsidR="004C1C04" w:rsidRPr="00B22A87">
        <w:rPr>
          <w:lang w:val="ru-RU"/>
        </w:rPr>
        <w:instrText xml:space="preserve"> \</w:instrText>
      </w:r>
      <w:r w:rsidR="004C1C04">
        <w:instrText>l</w:instrText>
      </w:r>
      <w:r w:rsidR="004C1C04" w:rsidRPr="00B22A87">
        <w:rPr>
          <w:lang w:val="ru-RU"/>
        </w:rPr>
        <w:instrText xml:space="preserve"> "_</w:instrText>
      </w:r>
      <w:r w:rsidR="004C1C04">
        <w:instrText>bookmark</w:instrText>
      </w:r>
      <w:r w:rsidR="004C1C04" w:rsidRPr="00B22A87">
        <w:rPr>
          <w:lang w:val="ru-RU"/>
        </w:rPr>
        <w:instrText xml:space="preserve">0" </w:instrText>
      </w:r>
      <w:r w:rsidR="004C1C04">
        <w:fldChar w:fldCharType="separate"/>
      </w:r>
      <w:r>
        <w:rPr>
          <w:b w:val="0"/>
          <w:bCs w:val="0"/>
          <w:color w:val="69AD22"/>
          <w:sz w:val="19"/>
          <w:lang w:val="ru"/>
        </w:rPr>
        <w:t>*</w:t>
      </w:r>
      <w:r w:rsidR="004C1C04">
        <w:rPr>
          <w:b w:val="0"/>
          <w:bCs w:val="0"/>
          <w:color w:val="69AD22"/>
          <w:sz w:val="19"/>
          <w:lang w:val="ru"/>
        </w:rPr>
        <w:fldChar w:fldCharType="end"/>
      </w:r>
      <w:r>
        <w:rPr>
          <w:b w:val="0"/>
          <w:bCs w:val="0"/>
          <w:color w:val="69AD22"/>
          <w:sz w:val="19"/>
          <w:lang w:val="ru"/>
        </w:rPr>
        <w:t xml:space="preserve"> </w:t>
      </w:r>
      <w:r>
        <w:rPr>
          <w:color w:val="69AD22"/>
          <w:lang w:val="ru"/>
        </w:rPr>
        <w:t>(повышенный риск заражения)</w:t>
      </w:r>
    </w:p>
    <w:p w:rsidR="007E551E" w:rsidRPr="00B22A87" w:rsidRDefault="0091635B">
      <w:pPr>
        <w:pStyle w:val="BodyText"/>
        <w:spacing w:before="122"/>
        <w:ind w:left="120" w:firstLine="0"/>
        <w:rPr>
          <w:lang w:val="ru-RU"/>
        </w:rPr>
      </w:pPr>
      <w:r>
        <w:rPr>
          <w:lang w:val="ru"/>
        </w:rPr>
        <w:t>Близкий контакт с возможным или подтвержденным случаем заражения 2019-nCoV определяется следующим образом:</w:t>
      </w:r>
    </w:p>
    <w:p w:rsidR="007E551E" w:rsidRPr="00B22A87" w:rsidRDefault="0091635B">
      <w:pPr>
        <w:pStyle w:val="BodyText"/>
        <w:numPr>
          <w:ilvl w:val="0"/>
          <w:numId w:val="2"/>
        </w:numPr>
        <w:tabs>
          <w:tab w:val="left" w:pos="403"/>
        </w:tabs>
        <w:spacing w:before="110"/>
        <w:ind w:hanging="283"/>
        <w:rPr>
          <w:lang w:val="ru-RU"/>
        </w:rPr>
      </w:pPr>
      <w:r>
        <w:rPr>
          <w:lang w:val="ru"/>
        </w:rPr>
        <w:t>лицо, совместно проживающее с больным 2019-nCoV;</w:t>
      </w:r>
    </w:p>
    <w:p w:rsidR="007E551E" w:rsidRPr="00B22A87" w:rsidRDefault="0091635B">
      <w:pPr>
        <w:pStyle w:val="BodyText"/>
        <w:numPr>
          <w:ilvl w:val="0"/>
          <w:numId w:val="2"/>
        </w:numPr>
        <w:tabs>
          <w:tab w:val="left" w:pos="403"/>
        </w:tabs>
        <w:spacing w:before="41"/>
        <w:ind w:hanging="283"/>
        <w:rPr>
          <w:lang w:val="ru-RU"/>
        </w:rPr>
      </w:pPr>
      <w:r>
        <w:rPr>
          <w:lang w:val="ru"/>
        </w:rPr>
        <w:t>лицо, имевшее очный контакт или находившееся в закрытом пространстве с больным 2019-nCoV;</w:t>
      </w:r>
    </w:p>
    <w:p w:rsidR="007E551E" w:rsidRPr="00B22A87" w:rsidRDefault="0091635B">
      <w:pPr>
        <w:pStyle w:val="BodyText"/>
        <w:numPr>
          <w:ilvl w:val="0"/>
          <w:numId w:val="2"/>
        </w:numPr>
        <w:tabs>
          <w:tab w:val="left" w:pos="403"/>
        </w:tabs>
        <w:spacing w:before="41"/>
        <w:ind w:right="871" w:hanging="283"/>
        <w:rPr>
          <w:lang w:val="ru-RU"/>
        </w:rPr>
      </w:pPr>
      <w:r>
        <w:rPr>
          <w:lang w:val="ru"/>
        </w:rPr>
        <w:t>медработник или иное лицо, оказывавшее непосредственную помощь больному 2019-nCoV, или лабораторный персонал, работавший с образцами 2019-nCoV;</w:t>
      </w:r>
    </w:p>
    <w:p w:rsidR="007E551E" w:rsidRPr="00B22A87" w:rsidRDefault="0091635B">
      <w:pPr>
        <w:pStyle w:val="BodyText"/>
        <w:numPr>
          <w:ilvl w:val="0"/>
          <w:numId w:val="2"/>
        </w:numPr>
        <w:tabs>
          <w:tab w:val="left" w:pos="403"/>
        </w:tabs>
        <w:spacing w:before="43" w:line="241" w:lineRule="auto"/>
        <w:ind w:right="352" w:hanging="283"/>
        <w:rPr>
          <w:lang w:val="ru-RU"/>
        </w:rPr>
      </w:pPr>
      <w:r>
        <w:rPr>
          <w:lang w:val="ru"/>
        </w:rPr>
        <w:t>контактирующее лицо в самолете, находящееся в радиусе двух сидений (в любом направлении) от больного 2019-nCoV, спутники больного или лица, оказывавших ему помощь, а также члены экипажа, обслуживавшие секцию самолета, в которой находился нулевой пациент [2] (если тяжесть симптомов или движение больного могут указывать на более экстенсивные контакты, то пассажиры всей секции самолета или все пассажиры на борту могут считаться близко контактирующими).</w:t>
      </w:r>
    </w:p>
    <w:p w:rsidR="007E551E" w:rsidRPr="00B22A87" w:rsidRDefault="007E551E">
      <w:pPr>
        <w:spacing w:before="5" w:line="240" w:lineRule="atLeast"/>
        <w:rPr>
          <w:rFonts w:ascii="Tahoma" w:eastAsia="Tahoma" w:hAnsi="Tahoma" w:cs="Tahoma"/>
          <w:sz w:val="19"/>
          <w:szCs w:val="19"/>
          <w:lang w:val="ru-RU"/>
        </w:rPr>
      </w:pPr>
    </w:p>
    <w:p w:rsidR="007E551E" w:rsidRPr="00B22A87" w:rsidRDefault="0091635B">
      <w:pPr>
        <w:pStyle w:val="Heading2"/>
        <w:numPr>
          <w:ilvl w:val="0"/>
          <w:numId w:val="3"/>
        </w:numPr>
        <w:tabs>
          <w:tab w:val="left" w:pos="495"/>
        </w:tabs>
        <w:ind w:hanging="374"/>
        <w:rPr>
          <w:b w:val="0"/>
          <w:bCs w:val="0"/>
          <w:lang w:val="ru-RU"/>
        </w:rPr>
      </w:pPr>
      <w:r>
        <w:rPr>
          <w:color w:val="69AD22"/>
          <w:lang w:val="ru"/>
        </w:rPr>
        <w:t>Случайный контакт (пониженный риск заражения)</w:t>
      </w:r>
    </w:p>
    <w:p w:rsidR="007E551E" w:rsidRPr="00B22A87" w:rsidRDefault="00B22A87">
      <w:pPr>
        <w:pStyle w:val="BodyText"/>
        <w:spacing w:before="122"/>
        <w:ind w:left="120" w:firstLine="0"/>
        <w:rPr>
          <w:lang w:val="ru-RU"/>
        </w:rPr>
      </w:pPr>
      <w:r>
        <w:rPr>
          <w:lang w:val="ru"/>
        </w:rPr>
        <w:t>Случайный</w:t>
      </w:r>
      <w:bookmarkStart w:id="1" w:name="_GoBack"/>
      <w:bookmarkEnd w:id="1"/>
      <w:r w:rsidR="0091635B">
        <w:rPr>
          <w:lang w:val="ru"/>
        </w:rPr>
        <w:t xml:space="preserve"> контакт с возможным или подтвержденным случаем заражения 2019-nCoV определяется следующим образом:</w:t>
      </w:r>
    </w:p>
    <w:p w:rsidR="007E551E" w:rsidRPr="00B22A87" w:rsidRDefault="0091635B">
      <w:pPr>
        <w:pStyle w:val="BodyText"/>
        <w:numPr>
          <w:ilvl w:val="0"/>
          <w:numId w:val="2"/>
        </w:numPr>
        <w:tabs>
          <w:tab w:val="left" w:pos="404"/>
        </w:tabs>
        <w:spacing w:before="113"/>
        <w:ind w:left="403" w:hanging="283"/>
        <w:rPr>
          <w:lang w:val="ru-RU"/>
        </w:rPr>
      </w:pPr>
      <w:r>
        <w:rPr>
          <w:lang w:val="ru"/>
        </w:rPr>
        <w:t>определяемое лицо, имевшее случайный контакт с носителем 2019-nCoV;</w:t>
      </w:r>
    </w:p>
    <w:p w:rsidR="007E551E" w:rsidRPr="00B22A87" w:rsidRDefault="0091635B">
      <w:pPr>
        <w:pStyle w:val="BodyText"/>
        <w:numPr>
          <w:ilvl w:val="0"/>
          <w:numId w:val="2"/>
        </w:numPr>
        <w:tabs>
          <w:tab w:val="left" w:pos="404"/>
        </w:tabs>
        <w:spacing w:before="38"/>
        <w:ind w:left="403" w:hanging="283"/>
        <w:rPr>
          <w:lang w:val="ru-RU"/>
        </w:rPr>
      </w:pPr>
      <w:r>
        <w:rPr>
          <w:lang w:val="ru"/>
        </w:rPr>
        <w:t>лицо, остававшееся в месте, в котором предположительно имела место постоянная передача заболевания на уровне населенного пункта.</w:t>
      </w:r>
    </w:p>
    <w:p w:rsidR="007E551E" w:rsidRPr="00B22A87" w:rsidRDefault="007E551E">
      <w:pPr>
        <w:spacing w:before="6" w:line="240" w:lineRule="atLeast"/>
        <w:rPr>
          <w:rFonts w:ascii="Tahoma" w:eastAsia="Tahoma" w:hAnsi="Tahoma" w:cs="Tahoma"/>
          <w:sz w:val="19"/>
          <w:szCs w:val="19"/>
          <w:lang w:val="ru-RU"/>
        </w:rPr>
      </w:pPr>
    </w:p>
    <w:p w:rsidR="007E551E" w:rsidRPr="00B22A87" w:rsidRDefault="0091635B">
      <w:pPr>
        <w:pStyle w:val="Heading2"/>
        <w:ind w:left="120" w:firstLine="0"/>
        <w:rPr>
          <w:b w:val="0"/>
          <w:bCs w:val="0"/>
          <w:lang w:val="ru-RU"/>
        </w:rPr>
      </w:pPr>
      <w:r>
        <w:rPr>
          <w:color w:val="69AD22"/>
          <w:lang w:val="ru"/>
        </w:rPr>
        <w:t>Медработники, контактировавшие по роду деятельности</w:t>
      </w:r>
    </w:p>
    <w:p w:rsidR="007E551E" w:rsidRPr="00B22A87" w:rsidRDefault="0091635B">
      <w:pPr>
        <w:pStyle w:val="BodyText"/>
        <w:spacing w:before="120"/>
        <w:ind w:left="120" w:right="320" w:hanging="1"/>
        <w:rPr>
          <w:lang w:val="ru-RU"/>
        </w:rPr>
      </w:pPr>
      <w:r>
        <w:rPr>
          <w:lang w:val="ru"/>
        </w:rPr>
        <w:t>Медработники, оказывающие помощь больным с 2019-nCoV в больницах ЕС/ЕЭЗ должны быть поставлены на учет и зарегистрированы в соответствии с санитарными процедурами/регламентами стран, в которых они работают. Это обычно включает в себя регистрацию, активный мониторинг симптомов и срочное тестирование и изоляцию, в случае если симптомы могут быть связаны с 2019-nCoV.</w:t>
      </w:r>
    </w:p>
    <w:p w:rsidR="007E551E" w:rsidRPr="00B22A87" w:rsidRDefault="007E551E">
      <w:pPr>
        <w:spacing w:before="20" w:line="220" w:lineRule="atLeast"/>
        <w:rPr>
          <w:rFonts w:ascii="Tahoma" w:eastAsia="Tahoma" w:hAnsi="Tahoma" w:cs="Tahoma"/>
          <w:sz w:val="18"/>
          <w:szCs w:val="18"/>
          <w:lang w:val="ru-RU"/>
        </w:rPr>
      </w:pPr>
    </w:p>
    <w:p w:rsidR="007E551E" w:rsidRPr="00B22A87" w:rsidRDefault="0091635B">
      <w:pPr>
        <w:pStyle w:val="Heading1"/>
        <w:ind w:left="120" w:right="458"/>
        <w:rPr>
          <w:b w:val="0"/>
          <w:bCs w:val="0"/>
          <w:lang w:val="ru-RU"/>
        </w:rPr>
      </w:pPr>
      <w:r>
        <w:rPr>
          <w:color w:val="69AD22"/>
          <w:lang w:val="ru"/>
        </w:rPr>
        <w:t>Этапы ведения контактов после определения случая</w:t>
      </w:r>
    </w:p>
    <w:p w:rsidR="007E551E" w:rsidRPr="00B22A87" w:rsidRDefault="0091635B">
      <w:pPr>
        <w:pStyle w:val="BodyText"/>
        <w:spacing w:before="121"/>
        <w:ind w:left="120" w:firstLine="0"/>
        <w:rPr>
          <w:lang w:val="ru-RU"/>
        </w:rPr>
      </w:pPr>
      <w:r>
        <w:rPr>
          <w:lang w:val="ru"/>
        </w:rPr>
        <w:t>Следующие действия предпринимаются немедленно после подтверждения случая:</w:t>
      </w:r>
    </w:p>
    <w:p w:rsidR="007E551E" w:rsidRPr="00B22A87" w:rsidRDefault="0091635B">
      <w:pPr>
        <w:pStyle w:val="BodyText"/>
        <w:numPr>
          <w:ilvl w:val="0"/>
          <w:numId w:val="2"/>
        </w:numPr>
        <w:tabs>
          <w:tab w:val="left" w:pos="404"/>
        </w:tabs>
        <w:spacing w:before="115"/>
        <w:ind w:left="403" w:right="629" w:hanging="283"/>
        <w:rPr>
          <w:lang w:val="ru-RU"/>
        </w:rPr>
      </w:pPr>
      <w:r>
        <w:rPr>
          <w:lang w:val="ru"/>
        </w:rPr>
        <w:t>определение и занесение в список, а также классификация контактирующего лица, как имевшего контакт повышенного риска («близкий контакт») или контакт пониженного риска («случайный контакт»);</w:t>
      </w:r>
    </w:p>
    <w:p w:rsidR="007E551E" w:rsidRPr="00B22A87" w:rsidRDefault="0091635B">
      <w:pPr>
        <w:pStyle w:val="BodyText"/>
        <w:numPr>
          <w:ilvl w:val="0"/>
          <w:numId w:val="2"/>
        </w:numPr>
        <w:tabs>
          <w:tab w:val="left" w:pos="404"/>
        </w:tabs>
        <w:ind w:left="403" w:hanging="283"/>
        <w:rPr>
          <w:lang w:val="ru-RU"/>
        </w:rPr>
      </w:pPr>
      <w:r>
        <w:rPr>
          <w:lang w:val="ru"/>
        </w:rPr>
        <w:t>отслеживание и оценка контакта (т.е., общение с контактировавшими лицами и оценка риска);</w:t>
      </w:r>
    </w:p>
    <w:p w:rsidR="007E551E" w:rsidRPr="00B22A87" w:rsidRDefault="0091635B">
      <w:pPr>
        <w:pStyle w:val="BodyText"/>
        <w:numPr>
          <w:ilvl w:val="0"/>
          <w:numId w:val="2"/>
        </w:numPr>
        <w:tabs>
          <w:tab w:val="left" w:pos="404"/>
        </w:tabs>
        <w:ind w:left="403" w:hanging="283"/>
        <w:rPr>
          <w:lang w:val="ru-RU"/>
        </w:rPr>
      </w:pPr>
      <w:r>
        <w:rPr>
          <w:lang w:val="ru"/>
        </w:rPr>
        <w:t>ведение и последующий контроль контактировавших лиц (т.е., уведомление, консультирование, последующий контроль - это включает тестирование, если показано);</w:t>
      </w:r>
    </w:p>
    <w:p w:rsidR="007E551E" w:rsidRPr="00B22A87" w:rsidRDefault="0091635B">
      <w:pPr>
        <w:pStyle w:val="BodyText"/>
        <w:numPr>
          <w:ilvl w:val="0"/>
          <w:numId w:val="2"/>
        </w:numPr>
        <w:tabs>
          <w:tab w:val="left" w:pos="404"/>
        </w:tabs>
        <w:ind w:left="403" w:hanging="283"/>
        <w:rPr>
          <w:lang w:val="ru-RU"/>
        </w:rPr>
      </w:pPr>
      <w:r>
        <w:rPr>
          <w:lang w:val="ru"/>
        </w:rPr>
        <w:t>последующий контроль результатов отслеживания контактов силами группы по контролю вспышки.</w:t>
      </w:r>
    </w:p>
    <w:p w:rsidR="007E551E" w:rsidRPr="00B22A87" w:rsidRDefault="007E551E">
      <w:pPr>
        <w:spacing w:before="2" w:line="240" w:lineRule="atLeast"/>
        <w:rPr>
          <w:rFonts w:ascii="Tahoma" w:eastAsia="Tahoma" w:hAnsi="Tahoma" w:cs="Tahoma"/>
          <w:sz w:val="19"/>
          <w:szCs w:val="19"/>
          <w:lang w:val="ru-RU"/>
        </w:rPr>
      </w:pPr>
    </w:p>
    <w:p w:rsidR="007E551E" w:rsidRPr="00B22A87" w:rsidRDefault="0091635B">
      <w:pPr>
        <w:pStyle w:val="Heading1"/>
        <w:ind w:left="120"/>
        <w:rPr>
          <w:b w:val="0"/>
          <w:bCs w:val="0"/>
          <w:lang w:val="ru-RU"/>
        </w:rPr>
      </w:pPr>
      <w:r>
        <w:rPr>
          <w:color w:val="69AD22"/>
          <w:lang w:val="ru"/>
        </w:rPr>
        <w:t>Мониторинг контактов</w:t>
      </w:r>
    </w:p>
    <w:p w:rsidR="007E551E" w:rsidRPr="00B22A87" w:rsidRDefault="0091635B">
      <w:pPr>
        <w:pStyle w:val="BodyText"/>
        <w:spacing w:before="121"/>
        <w:ind w:left="120" w:firstLine="0"/>
        <w:rPr>
          <w:lang w:val="ru-RU"/>
        </w:rPr>
      </w:pPr>
      <w:r>
        <w:rPr>
          <w:lang w:val="ru"/>
        </w:rPr>
        <w:t>На рисунке 1 показан процесс мониторинга контактов и необходимые действия.</w:t>
      </w:r>
    </w:p>
    <w:p w:rsidR="007E551E" w:rsidRPr="00B22A87" w:rsidRDefault="0091635B">
      <w:pPr>
        <w:pStyle w:val="BodyText"/>
        <w:spacing w:before="118"/>
        <w:ind w:left="120" w:right="871" w:hanging="1"/>
        <w:rPr>
          <w:lang w:val="ru-RU"/>
        </w:rPr>
      </w:pPr>
      <w:r>
        <w:rPr>
          <w:lang w:val="ru"/>
        </w:rPr>
        <w:t>В зависимости от конкретной обстановки, органы здравоохранения могут поддержать, предложить или реализовать дополнительные ограничения (например, добровольное ограничение контактов лицом, или целенаправленное избежание контакта с толпами).</w:t>
      </w:r>
    </w:p>
    <w:p w:rsidR="007E551E" w:rsidRPr="00B22A87" w:rsidRDefault="0091635B">
      <w:pPr>
        <w:pStyle w:val="BodyText"/>
        <w:spacing w:before="121"/>
        <w:ind w:left="120" w:firstLine="0"/>
        <w:rPr>
          <w:lang w:val="ru-RU"/>
        </w:rPr>
      </w:pPr>
      <w:r>
        <w:rPr>
          <w:lang w:val="ru"/>
        </w:rPr>
        <w:t>Отслеживание и мониторинг контактов основывается на самых последних знаниях, как показано ниже.</w:t>
      </w:r>
    </w:p>
    <w:p w:rsidR="007E551E" w:rsidRPr="00B22A87" w:rsidRDefault="0091635B">
      <w:pPr>
        <w:pStyle w:val="BodyText"/>
        <w:numPr>
          <w:ilvl w:val="0"/>
          <w:numId w:val="2"/>
        </w:numPr>
        <w:tabs>
          <w:tab w:val="left" w:pos="404"/>
        </w:tabs>
        <w:spacing w:before="113"/>
        <w:ind w:left="403" w:right="337" w:hanging="283"/>
        <w:rPr>
          <w:lang w:val="ru-RU"/>
        </w:rPr>
      </w:pPr>
      <w:r>
        <w:rPr>
          <w:lang w:val="ru"/>
        </w:rPr>
        <w:t>В настоящий момент считается, что инкубационный период 2019-nCoV составляет 2–12 дней. В интересах предосторожности и практичности, необходимо устанавливать период последующего контроля в размере 14 дней (двух недель).</w:t>
      </w:r>
    </w:p>
    <w:p w:rsidR="007E551E" w:rsidRPr="00B22A87" w:rsidRDefault="0091635B">
      <w:pPr>
        <w:pStyle w:val="BodyText"/>
        <w:numPr>
          <w:ilvl w:val="0"/>
          <w:numId w:val="2"/>
        </w:numPr>
        <w:tabs>
          <w:tab w:val="left" w:pos="404"/>
        </w:tabs>
        <w:spacing w:line="242" w:lineRule="auto"/>
        <w:ind w:left="403" w:right="325" w:hanging="283"/>
        <w:rPr>
          <w:lang w:val="ru-RU"/>
        </w:rPr>
      </w:pPr>
      <w:r>
        <w:rPr>
          <w:lang w:val="ru"/>
        </w:rPr>
        <w:t>Считается, что больной является наиболее контагиозным при наличии симптоматики, но, возможно, контагиозность имела место еще до появления симптомов. Вероятна корреляция между контагиозностью и тяжестью симптомов у амбулаторных больных.</w:t>
      </w:r>
    </w:p>
    <w:p w:rsidR="007E551E" w:rsidRPr="00B22A87" w:rsidRDefault="0091635B">
      <w:pPr>
        <w:pStyle w:val="BodyText"/>
        <w:numPr>
          <w:ilvl w:val="0"/>
          <w:numId w:val="2"/>
        </w:numPr>
        <w:tabs>
          <w:tab w:val="left" w:pos="404"/>
        </w:tabs>
        <w:spacing w:before="58" w:line="242" w:lineRule="auto"/>
        <w:ind w:left="403" w:right="458" w:hanging="283"/>
        <w:rPr>
          <w:lang w:val="ru-RU"/>
        </w:rPr>
      </w:pPr>
      <w:r>
        <w:rPr>
          <w:lang w:val="ru"/>
        </w:rPr>
        <w:t xml:space="preserve">Представляется, что передача происходит главным образом капельно. В настоящее время пока еще неясно, возможна ли воздушная передача (на 29 января 2020). Фекальная передача не исключается, однако в первых документированных исследованиях серии случаев лишь в одном из 38 случаев </w:t>
      </w:r>
      <w:r>
        <w:rPr>
          <w:lang w:val="ru"/>
        </w:rPr>
        <w:lastRenderedPageBreak/>
        <w:t>наблюдалась диарея [3].</w:t>
      </w:r>
    </w:p>
    <w:p w:rsidR="007E551E" w:rsidRPr="00B22A87" w:rsidRDefault="007E551E">
      <w:pPr>
        <w:spacing w:before="7" w:line="110" w:lineRule="atLeast"/>
        <w:rPr>
          <w:rFonts w:ascii="Tahoma" w:eastAsia="Tahoma" w:hAnsi="Tahoma" w:cs="Tahoma"/>
          <w:sz w:val="9"/>
          <w:szCs w:val="9"/>
          <w:lang w:val="ru-RU"/>
        </w:rPr>
      </w:pPr>
    </w:p>
    <w:p w:rsidR="007E551E" w:rsidRPr="00B22A87" w:rsidRDefault="007E551E">
      <w:pPr>
        <w:spacing w:line="200" w:lineRule="atLeast"/>
        <w:rPr>
          <w:rFonts w:ascii="Tahoma" w:eastAsia="Tahoma" w:hAnsi="Tahoma" w:cs="Tahoma"/>
          <w:sz w:val="16"/>
          <w:szCs w:val="16"/>
          <w:lang w:val="ru-RU"/>
        </w:rPr>
      </w:pPr>
    </w:p>
    <w:p w:rsidR="007E551E" w:rsidRDefault="004C1C04">
      <w:pPr>
        <w:spacing w:line="20" w:lineRule="atLeast"/>
        <w:ind w:left="111"/>
        <w:rPr>
          <w:rFonts w:ascii="Tahoma" w:eastAsia="Tahoma" w:hAnsi="Tahoma" w:cs="Tahoma"/>
          <w:sz w:val="2"/>
          <w:szCs w:val="2"/>
        </w:rPr>
      </w:pPr>
      <w:r>
        <w:rPr>
          <w:rFonts w:ascii="Tahoma" w:eastAsia="Tahoma" w:hAnsi="Tahoma" w:cs="Tahoma"/>
          <w:sz w:val="2"/>
          <w:szCs w:val="2"/>
          <w:lang w:val="ru"/>
        </w:rPr>
      </w:r>
      <w:r>
        <w:rPr>
          <w:rFonts w:ascii="Tahoma" w:eastAsia="Tahoma" w:hAnsi="Tahoma" w:cs="Tahoma"/>
          <w:sz w:val="2"/>
          <w:szCs w:val="2"/>
          <w:lang w:val="ru"/>
        </w:rPr>
        <w:pict>
          <v:group id="_x0000_s1027" style="width:144.85pt;height:.85pt;mso-position-horizontal-relative:char;mso-position-vertical-relative:line" coordsize="2897,17">
            <v:group id="_x0000_s1028" style="position:absolute;left:8;top:8;width:2880;height:2" coordorigin="8,8" coordsize="2880,2">
              <v:shape id="_x0000_s1029" style="position:absolute;left:8;top:8;width:2880;height:2" coordorigin="8,8" coordsize="2880,0" path="m8,8r2880,e" filled="f" strokeweight=".82pt">
                <v:path arrowok="t"/>
              </v:shape>
            </v:group>
            <w10:anchorlock/>
          </v:group>
        </w:pict>
      </w:r>
    </w:p>
    <w:p w:rsidR="007E551E" w:rsidRDefault="007E551E">
      <w:pPr>
        <w:spacing w:line="140" w:lineRule="atLeast"/>
        <w:rPr>
          <w:rFonts w:ascii="Tahoma" w:eastAsia="Tahoma" w:hAnsi="Tahoma" w:cs="Tahoma"/>
          <w:sz w:val="11"/>
          <w:szCs w:val="11"/>
        </w:rPr>
      </w:pPr>
    </w:p>
    <w:p w:rsidR="007E551E" w:rsidRPr="00B22A87" w:rsidRDefault="0091635B">
      <w:pPr>
        <w:spacing w:before="83" w:line="247" w:lineRule="auto"/>
        <w:ind w:left="120" w:right="352" w:hanging="1"/>
        <w:rPr>
          <w:rFonts w:ascii="Tahoma" w:eastAsia="Tahoma" w:hAnsi="Tahoma" w:cs="Tahoma"/>
          <w:sz w:val="16"/>
          <w:szCs w:val="16"/>
          <w:lang w:val="ru-RU"/>
        </w:rPr>
      </w:pPr>
      <w:bookmarkStart w:id="2" w:name="_bookmark0"/>
      <w:bookmarkEnd w:id="2"/>
      <w:r w:rsidRPr="00B22A87">
        <w:rPr>
          <w:rFonts w:ascii="Tahoma" w:hAnsi="Tahoma"/>
          <w:b/>
          <w:bCs/>
          <w:sz w:val="10"/>
        </w:rPr>
        <w:t xml:space="preserve">* </w:t>
      </w:r>
      <w:r>
        <w:rPr>
          <w:rFonts w:ascii="Tahoma" w:hAnsi="Tahoma"/>
          <w:sz w:val="16"/>
          <w:lang w:val="ru"/>
        </w:rPr>
        <w:t>Взято</w:t>
      </w:r>
      <w:r w:rsidRPr="00B22A87">
        <w:rPr>
          <w:rFonts w:ascii="Tahoma" w:hAnsi="Tahoma"/>
          <w:sz w:val="16"/>
        </w:rPr>
        <w:t xml:space="preserve"> </w:t>
      </w:r>
      <w:r>
        <w:rPr>
          <w:rFonts w:ascii="Tahoma" w:hAnsi="Tahoma"/>
          <w:sz w:val="16"/>
          <w:lang w:val="ru"/>
        </w:rPr>
        <w:t>из</w:t>
      </w:r>
      <w:r w:rsidRPr="00B22A87">
        <w:rPr>
          <w:rFonts w:ascii="Tahoma" w:hAnsi="Tahoma"/>
          <w:sz w:val="16"/>
        </w:rPr>
        <w:t xml:space="preserve"> Global Surveillance for human infection with novel coronavirus (2019-nCoV) - Interim guidance (</w:t>
      </w:r>
      <w:r>
        <w:rPr>
          <w:rFonts w:ascii="Tahoma" w:hAnsi="Tahoma"/>
          <w:sz w:val="16"/>
          <w:lang w:val="ru"/>
        </w:rPr>
        <w:t>Глобальный</w:t>
      </w:r>
      <w:r w:rsidRPr="00B22A87">
        <w:rPr>
          <w:rFonts w:ascii="Tahoma" w:hAnsi="Tahoma"/>
          <w:sz w:val="16"/>
        </w:rPr>
        <w:t xml:space="preserve"> </w:t>
      </w:r>
      <w:r>
        <w:rPr>
          <w:rFonts w:ascii="Tahoma" w:hAnsi="Tahoma"/>
          <w:sz w:val="16"/>
          <w:lang w:val="ru"/>
        </w:rPr>
        <w:t>эпидемиологический</w:t>
      </w:r>
      <w:r w:rsidRPr="00B22A87">
        <w:rPr>
          <w:rFonts w:ascii="Tahoma" w:hAnsi="Tahoma"/>
          <w:sz w:val="16"/>
        </w:rPr>
        <w:t xml:space="preserve"> </w:t>
      </w:r>
      <w:r>
        <w:rPr>
          <w:rFonts w:ascii="Tahoma" w:hAnsi="Tahoma"/>
          <w:sz w:val="16"/>
          <w:lang w:val="ru"/>
        </w:rPr>
        <w:t>надзор</w:t>
      </w:r>
      <w:r w:rsidRPr="00B22A87">
        <w:rPr>
          <w:rFonts w:ascii="Tahoma" w:hAnsi="Tahoma"/>
          <w:sz w:val="16"/>
        </w:rPr>
        <w:t xml:space="preserve"> </w:t>
      </w:r>
      <w:r>
        <w:rPr>
          <w:rFonts w:ascii="Tahoma" w:hAnsi="Tahoma"/>
          <w:sz w:val="16"/>
          <w:lang w:val="ru"/>
        </w:rPr>
        <w:t>за</w:t>
      </w:r>
      <w:r w:rsidRPr="00B22A87">
        <w:rPr>
          <w:rFonts w:ascii="Tahoma" w:hAnsi="Tahoma"/>
          <w:sz w:val="16"/>
        </w:rPr>
        <w:t xml:space="preserve"> </w:t>
      </w:r>
      <w:r>
        <w:rPr>
          <w:rFonts w:ascii="Tahoma" w:hAnsi="Tahoma"/>
          <w:sz w:val="16"/>
          <w:lang w:val="ru"/>
        </w:rPr>
        <w:t>передачей</w:t>
      </w:r>
      <w:r w:rsidRPr="00B22A87">
        <w:rPr>
          <w:rFonts w:ascii="Tahoma" w:hAnsi="Tahoma"/>
          <w:sz w:val="16"/>
        </w:rPr>
        <w:t xml:space="preserve"> </w:t>
      </w:r>
      <w:r>
        <w:rPr>
          <w:rFonts w:ascii="Tahoma" w:hAnsi="Tahoma"/>
          <w:sz w:val="16"/>
          <w:lang w:val="ru"/>
        </w:rPr>
        <w:t>нового</w:t>
      </w:r>
      <w:r w:rsidRPr="00B22A87">
        <w:rPr>
          <w:rFonts w:ascii="Tahoma" w:hAnsi="Tahoma"/>
          <w:sz w:val="16"/>
        </w:rPr>
        <w:t xml:space="preserve"> </w:t>
      </w:r>
      <w:r>
        <w:rPr>
          <w:rFonts w:ascii="Tahoma" w:hAnsi="Tahoma"/>
          <w:sz w:val="16"/>
          <w:lang w:val="ru"/>
        </w:rPr>
        <w:t>коронавируса</w:t>
      </w:r>
      <w:r w:rsidRPr="00B22A87">
        <w:rPr>
          <w:rFonts w:ascii="Tahoma" w:hAnsi="Tahoma"/>
          <w:sz w:val="16"/>
        </w:rPr>
        <w:t xml:space="preserve"> </w:t>
      </w:r>
      <w:r>
        <w:rPr>
          <w:rFonts w:ascii="Tahoma" w:hAnsi="Tahoma"/>
          <w:sz w:val="16"/>
          <w:lang w:val="ru"/>
        </w:rPr>
        <w:t>от</w:t>
      </w:r>
      <w:r w:rsidRPr="00B22A87">
        <w:rPr>
          <w:rFonts w:ascii="Tahoma" w:hAnsi="Tahoma"/>
          <w:sz w:val="16"/>
        </w:rPr>
        <w:t xml:space="preserve"> </w:t>
      </w:r>
      <w:r>
        <w:rPr>
          <w:rFonts w:ascii="Tahoma" w:hAnsi="Tahoma"/>
          <w:sz w:val="16"/>
          <w:lang w:val="ru"/>
        </w:rPr>
        <w:t>человека</w:t>
      </w:r>
      <w:r w:rsidRPr="00B22A87">
        <w:rPr>
          <w:rFonts w:ascii="Tahoma" w:hAnsi="Tahoma"/>
          <w:sz w:val="16"/>
        </w:rPr>
        <w:t xml:space="preserve"> </w:t>
      </w:r>
      <w:r>
        <w:rPr>
          <w:rFonts w:ascii="Tahoma" w:hAnsi="Tahoma"/>
          <w:sz w:val="16"/>
          <w:lang w:val="ru"/>
        </w:rPr>
        <w:t>к</w:t>
      </w:r>
      <w:r w:rsidRPr="00B22A87">
        <w:rPr>
          <w:rFonts w:ascii="Tahoma" w:hAnsi="Tahoma"/>
          <w:sz w:val="16"/>
        </w:rPr>
        <w:t xml:space="preserve"> </w:t>
      </w:r>
      <w:r>
        <w:rPr>
          <w:rFonts w:ascii="Tahoma" w:hAnsi="Tahoma"/>
          <w:sz w:val="16"/>
          <w:lang w:val="ru"/>
        </w:rPr>
        <w:t>человеку</w:t>
      </w:r>
      <w:r w:rsidRPr="00B22A87">
        <w:rPr>
          <w:rFonts w:ascii="Tahoma" w:hAnsi="Tahoma"/>
          <w:sz w:val="16"/>
        </w:rPr>
        <w:t xml:space="preserve"> — </w:t>
      </w:r>
      <w:r>
        <w:rPr>
          <w:rFonts w:ascii="Tahoma" w:hAnsi="Tahoma"/>
          <w:sz w:val="16"/>
          <w:lang w:val="ru"/>
        </w:rPr>
        <w:t>промежуточное</w:t>
      </w:r>
      <w:r w:rsidRPr="00B22A87">
        <w:rPr>
          <w:rFonts w:ascii="Tahoma" w:hAnsi="Tahoma"/>
          <w:sz w:val="16"/>
        </w:rPr>
        <w:t xml:space="preserve"> </w:t>
      </w:r>
      <w:r>
        <w:rPr>
          <w:rFonts w:ascii="Tahoma" w:hAnsi="Tahoma"/>
          <w:sz w:val="16"/>
          <w:lang w:val="ru"/>
        </w:rPr>
        <w:t>руководство</w:t>
      </w:r>
      <w:r w:rsidRPr="00B22A87">
        <w:rPr>
          <w:rFonts w:ascii="Tahoma" w:hAnsi="Tahoma"/>
          <w:sz w:val="16"/>
        </w:rPr>
        <w:t xml:space="preserve">). </w:t>
      </w:r>
      <w:r>
        <w:rPr>
          <w:rFonts w:ascii="Tahoma" w:hAnsi="Tahoma"/>
          <w:sz w:val="16"/>
          <w:lang w:val="ru"/>
        </w:rPr>
        <w:t xml:space="preserve">Доступно по адресу: </w:t>
      </w:r>
      <w:r>
        <w:rPr>
          <w:rFonts w:ascii="Tahoma" w:hAnsi="Tahoma"/>
          <w:color w:val="4F6128"/>
          <w:sz w:val="16"/>
          <w:lang w:val="ru"/>
        </w:rPr>
        <w:t xml:space="preserve"> </w:t>
      </w:r>
      <w:hyperlink r:id="rId9">
        <w:r>
          <w:rPr>
            <w:rFonts w:ascii="Tahoma" w:hAnsi="Tahoma"/>
            <w:color w:val="4F6128"/>
            <w:sz w:val="16"/>
            <w:u w:val="single"/>
            <w:lang w:val="ru"/>
          </w:rPr>
          <w:t>https://www.who.int/publications-detail/global-surveillance-for-human-infection-with-novel-coronavirus-(2019-2019-nCoV)</w:t>
        </w:r>
      </w:hyperlink>
    </w:p>
    <w:p w:rsidR="007E551E" w:rsidRPr="00B22A87" w:rsidRDefault="007E551E">
      <w:pPr>
        <w:spacing w:line="247" w:lineRule="auto"/>
        <w:rPr>
          <w:rFonts w:ascii="Tahoma" w:eastAsia="Tahoma" w:hAnsi="Tahoma" w:cs="Tahoma"/>
          <w:sz w:val="16"/>
          <w:szCs w:val="16"/>
          <w:lang w:val="ru-RU"/>
        </w:rPr>
        <w:sectPr w:rsidR="007E551E" w:rsidRPr="00B22A87">
          <w:headerReference w:type="default" r:id="rId10"/>
          <w:footerReference w:type="default" r:id="rId11"/>
          <w:pgSz w:w="11910" w:h="16850"/>
          <w:pgMar w:top="1300" w:right="1180" w:bottom="740" w:left="1320" w:header="1088" w:footer="548" w:gutter="0"/>
          <w:pgNumType w:start="2"/>
          <w:cols w:space="720"/>
        </w:sectPr>
      </w:pPr>
    </w:p>
    <w:p w:rsidR="007E551E" w:rsidRPr="00B22A87" w:rsidRDefault="007E551E">
      <w:pPr>
        <w:spacing w:before="19" w:line="240" w:lineRule="atLeast"/>
        <w:rPr>
          <w:rFonts w:ascii="Tahoma" w:eastAsia="Tahoma" w:hAnsi="Tahoma" w:cs="Tahoma"/>
          <w:sz w:val="19"/>
          <w:szCs w:val="19"/>
          <w:lang w:val="ru-RU"/>
        </w:rPr>
      </w:pPr>
    </w:p>
    <w:p w:rsidR="007E551E" w:rsidRPr="00B22A87" w:rsidRDefault="0091635B">
      <w:pPr>
        <w:pStyle w:val="Heading1"/>
        <w:spacing w:before="32"/>
        <w:ind w:left="120"/>
        <w:rPr>
          <w:b w:val="0"/>
          <w:bCs w:val="0"/>
          <w:lang w:val="ru-RU"/>
        </w:rPr>
      </w:pPr>
      <w:r>
        <w:rPr>
          <w:color w:val="69AD22"/>
          <w:lang w:val="ru"/>
        </w:rPr>
        <w:t>Основные меры в отношении контактировавших лиц</w:t>
      </w:r>
    </w:p>
    <w:p w:rsidR="007E551E" w:rsidRPr="00B22A87" w:rsidRDefault="0091635B">
      <w:pPr>
        <w:pStyle w:val="Heading3"/>
        <w:spacing w:before="236"/>
        <w:rPr>
          <w:b w:val="0"/>
          <w:bCs w:val="0"/>
          <w:lang w:val="ru-RU"/>
        </w:rPr>
      </w:pPr>
      <w:r>
        <w:rPr>
          <w:lang w:val="ru"/>
        </w:rPr>
        <w:t>Близкие контакты (повышенный риск заражения):</w:t>
      </w:r>
    </w:p>
    <w:p w:rsidR="007E551E" w:rsidRPr="00B22A87" w:rsidRDefault="0091635B">
      <w:pPr>
        <w:pStyle w:val="BodyText"/>
        <w:numPr>
          <w:ilvl w:val="0"/>
          <w:numId w:val="2"/>
        </w:numPr>
        <w:tabs>
          <w:tab w:val="left" w:pos="404"/>
        </w:tabs>
        <w:spacing w:before="122"/>
        <w:ind w:left="403" w:hanging="283"/>
        <w:rPr>
          <w:lang w:val="ru-RU"/>
        </w:rPr>
      </w:pPr>
      <w:r>
        <w:rPr>
          <w:lang w:val="ru"/>
        </w:rPr>
        <w:t>активный мониторинг органами здравоохраненяи, в течение 14 дней после последнего контакт;</w:t>
      </w:r>
    </w:p>
    <w:p w:rsidR="007E551E" w:rsidRPr="00B22A87" w:rsidRDefault="0091635B">
      <w:pPr>
        <w:pStyle w:val="BodyText"/>
        <w:numPr>
          <w:ilvl w:val="0"/>
          <w:numId w:val="2"/>
        </w:numPr>
        <w:tabs>
          <w:tab w:val="left" w:pos="404"/>
        </w:tabs>
        <w:spacing w:before="58"/>
        <w:ind w:left="403" w:hanging="283"/>
        <w:rPr>
          <w:lang w:val="ru-RU"/>
        </w:rPr>
      </w:pPr>
      <w:r>
        <w:rPr>
          <w:lang w:val="ru"/>
        </w:rPr>
        <w:t>ежедневный мониторинг на предмет симптомов 2019-nCoV, включая любую температуру, кашель или затрудненное дыхание;</w:t>
      </w:r>
    </w:p>
    <w:p w:rsidR="007E551E" w:rsidRDefault="0091635B">
      <w:pPr>
        <w:pStyle w:val="BodyText"/>
        <w:numPr>
          <w:ilvl w:val="0"/>
          <w:numId w:val="2"/>
        </w:numPr>
        <w:tabs>
          <w:tab w:val="left" w:pos="404"/>
        </w:tabs>
        <w:ind w:left="403" w:hanging="283"/>
      </w:pPr>
      <w:r>
        <w:rPr>
          <w:lang w:val="ru"/>
        </w:rPr>
        <w:t>избегать контактов с окружающими;</w:t>
      </w:r>
    </w:p>
    <w:p w:rsidR="007E551E" w:rsidRDefault="0091635B">
      <w:pPr>
        <w:pStyle w:val="BodyText"/>
        <w:numPr>
          <w:ilvl w:val="0"/>
          <w:numId w:val="2"/>
        </w:numPr>
        <w:tabs>
          <w:tab w:val="left" w:pos="404"/>
        </w:tabs>
        <w:ind w:left="403" w:hanging="283"/>
      </w:pPr>
      <w:r>
        <w:rPr>
          <w:lang w:val="ru"/>
        </w:rPr>
        <w:t>избегать путешествий;</w:t>
      </w:r>
    </w:p>
    <w:p w:rsidR="007E551E" w:rsidRPr="00B22A87" w:rsidRDefault="0091635B">
      <w:pPr>
        <w:pStyle w:val="BodyText"/>
        <w:numPr>
          <w:ilvl w:val="0"/>
          <w:numId w:val="2"/>
        </w:numPr>
        <w:tabs>
          <w:tab w:val="left" w:pos="404"/>
        </w:tabs>
        <w:spacing w:before="58"/>
        <w:ind w:left="403" w:hanging="283"/>
        <w:rPr>
          <w:lang w:val="ru-RU"/>
        </w:rPr>
      </w:pPr>
      <w:r>
        <w:rPr>
          <w:lang w:val="ru"/>
        </w:rPr>
        <w:t>оставаться доступным для активного мониторинга.</w:t>
      </w:r>
    </w:p>
    <w:p w:rsidR="007E551E" w:rsidRPr="00B22A87" w:rsidRDefault="007E551E">
      <w:pPr>
        <w:spacing w:before="2" w:line="100" w:lineRule="atLeast"/>
        <w:rPr>
          <w:rFonts w:ascii="Tahoma" w:eastAsia="Tahoma" w:hAnsi="Tahoma" w:cs="Tahoma"/>
          <w:sz w:val="8"/>
          <w:szCs w:val="8"/>
          <w:lang w:val="ru-RU"/>
        </w:rPr>
      </w:pPr>
    </w:p>
    <w:p w:rsidR="007E551E" w:rsidRPr="00B22A87" w:rsidRDefault="007E551E">
      <w:pPr>
        <w:spacing w:line="180" w:lineRule="atLeast"/>
        <w:rPr>
          <w:rFonts w:ascii="Tahoma" w:eastAsia="Tahoma" w:hAnsi="Tahoma" w:cs="Tahoma"/>
          <w:sz w:val="14"/>
          <w:szCs w:val="14"/>
          <w:lang w:val="ru-RU"/>
        </w:rPr>
      </w:pPr>
    </w:p>
    <w:p w:rsidR="007E551E" w:rsidRPr="00B22A87" w:rsidRDefault="0091635B">
      <w:pPr>
        <w:pStyle w:val="Heading3"/>
        <w:rPr>
          <w:b w:val="0"/>
          <w:bCs w:val="0"/>
          <w:lang w:val="ru-RU"/>
        </w:rPr>
      </w:pPr>
      <w:r>
        <w:rPr>
          <w:lang w:val="ru"/>
        </w:rPr>
        <w:t>Случайные контакты (пониженный риск заражения):</w:t>
      </w:r>
    </w:p>
    <w:p w:rsidR="007E551E" w:rsidRPr="00B22A87" w:rsidRDefault="0091635B">
      <w:pPr>
        <w:pStyle w:val="BodyText"/>
        <w:numPr>
          <w:ilvl w:val="0"/>
          <w:numId w:val="2"/>
        </w:numPr>
        <w:tabs>
          <w:tab w:val="left" w:pos="404"/>
        </w:tabs>
        <w:spacing w:before="120"/>
        <w:ind w:left="403" w:right="468" w:hanging="283"/>
        <w:rPr>
          <w:lang w:val="ru-RU"/>
        </w:rPr>
      </w:pPr>
      <w:r>
        <w:rPr>
          <w:lang w:val="ru"/>
        </w:rPr>
        <w:t>самомониторинг на предмет симптомов 2019-nCoV, включая любую температуру, кашель или затрудненное дыхание, в течение 14 дней после последнего контакта;</w:t>
      </w:r>
    </w:p>
    <w:p w:rsidR="007E551E" w:rsidRPr="00B22A87" w:rsidRDefault="0091635B">
      <w:pPr>
        <w:pStyle w:val="BodyText"/>
        <w:numPr>
          <w:ilvl w:val="0"/>
          <w:numId w:val="2"/>
        </w:numPr>
        <w:tabs>
          <w:tab w:val="left" w:pos="404"/>
        </w:tabs>
        <w:spacing w:before="62"/>
        <w:ind w:left="403" w:hanging="283"/>
        <w:rPr>
          <w:lang w:val="ru-RU"/>
        </w:rPr>
      </w:pPr>
      <w:r>
        <w:rPr>
          <w:lang w:val="ru"/>
        </w:rPr>
        <w:t>органы здравоохранения могут принять дополнительные меры, в зависимости от конкретной ситуации.</w:t>
      </w:r>
    </w:p>
    <w:p w:rsidR="007E551E" w:rsidRPr="00B22A87" w:rsidRDefault="0091635B">
      <w:pPr>
        <w:pStyle w:val="BodyText"/>
        <w:spacing w:before="123"/>
        <w:ind w:left="120" w:right="304" w:firstLine="0"/>
        <w:rPr>
          <w:lang w:val="ru-RU"/>
        </w:rPr>
      </w:pPr>
      <w:r>
        <w:rPr>
          <w:lang w:val="ru"/>
        </w:rPr>
        <w:t>Контактировавшие лица должны немедленно самоизолироваться и связаться с органами здравоохранениями в случае возникновения какого бы то ни было симптома в течение 14 дней. Если в течение 14 дней после последнего контакта не возникнет ни одного симптома, то такое лицо более не считается в группе риска развития заболевания 2019-nCoV.</w:t>
      </w:r>
    </w:p>
    <w:p w:rsidR="007E551E" w:rsidRPr="00B22A87" w:rsidRDefault="0091635B">
      <w:pPr>
        <w:pStyle w:val="BodyText"/>
        <w:spacing w:before="118"/>
        <w:ind w:left="120" w:right="352" w:firstLine="0"/>
        <w:rPr>
          <w:lang w:val="ru-RU"/>
        </w:rPr>
      </w:pPr>
      <w:r>
        <w:rPr>
          <w:lang w:val="ru"/>
        </w:rPr>
        <w:t>Реализация может подвергаться корректировкам, в зависимости от проводимой организациями здравоохранения оценки риска в конкретных случаях и их контактов.</w:t>
      </w:r>
    </w:p>
    <w:p w:rsidR="007E551E" w:rsidRPr="00B22A87" w:rsidRDefault="007E551E">
      <w:pPr>
        <w:spacing w:before="1" w:line="240" w:lineRule="atLeast"/>
        <w:rPr>
          <w:rFonts w:ascii="Tahoma" w:eastAsia="Tahoma" w:hAnsi="Tahoma" w:cs="Tahoma"/>
          <w:sz w:val="19"/>
          <w:szCs w:val="19"/>
          <w:lang w:val="ru-RU"/>
        </w:rPr>
      </w:pPr>
    </w:p>
    <w:p w:rsidR="007E551E" w:rsidRPr="00B22A87" w:rsidRDefault="0091635B">
      <w:pPr>
        <w:pStyle w:val="Heading3"/>
        <w:rPr>
          <w:b w:val="0"/>
          <w:bCs w:val="0"/>
          <w:lang w:val="ru-RU"/>
        </w:rPr>
      </w:pPr>
      <w:r>
        <w:rPr>
          <w:color w:val="69AD22"/>
          <w:lang w:val="ru"/>
        </w:rPr>
        <w:t>Рисунок  1.</w:t>
      </w:r>
      <w:r>
        <w:rPr>
          <w:b w:val="0"/>
          <w:bCs w:val="0"/>
          <w:color w:val="69AD22"/>
          <w:lang w:val="ru"/>
        </w:rPr>
        <w:t xml:space="preserve"> </w:t>
      </w:r>
      <w:r>
        <w:rPr>
          <w:color w:val="000000"/>
          <w:lang w:val="ru"/>
        </w:rPr>
        <w:t>Алгоритм ведения лиц, контактировавших с подтвержденными или возможными случаями 2019-nCoV</w:t>
      </w:r>
    </w:p>
    <w:p w:rsidR="007E551E" w:rsidRPr="00B22A87" w:rsidRDefault="007E551E">
      <w:pPr>
        <w:spacing w:before="19" w:line="100" w:lineRule="atLeast"/>
        <w:rPr>
          <w:rFonts w:ascii="Tahoma" w:eastAsia="Tahoma" w:hAnsi="Tahoma" w:cs="Tahoma"/>
          <w:sz w:val="8"/>
          <w:szCs w:val="8"/>
          <w:lang w:val="ru-RU"/>
        </w:rPr>
      </w:pPr>
    </w:p>
    <w:p w:rsidR="007E551E" w:rsidRDefault="004C1C04">
      <w:pPr>
        <w:spacing w:line="200" w:lineRule="atLeast"/>
        <w:ind w:left="120"/>
        <w:rPr>
          <w:rFonts w:ascii="Tahoma" w:eastAsia="Tahoma" w:hAnsi="Tahoma" w:cs="Tahoma"/>
          <w:sz w:val="20"/>
          <w:szCs w:val="20"/>
        </w:rPr>
      </w:pPr>
      <w:r>
        <w:rPr>
          <w:noProof/>
          <w:sz w:val="20"/>
          <w:szCs w:val="20"/>
          <w:lang w:val="ru"/>
        </w:rPr>
        <w:lastRenderedPageBreak/>
        <w:pict>
          <v:shape id="_x0000_s1056" type="#_x0000_t202" style="position:absolute;left:0;text-align:left;margin-left:344.5pt;margin-top:11.75pt;width:69.5pt;height:19.5pt;z-index:251678720" fillcolor="#e9c5a1" stroked="f">
            <v:textbox style="mso-next-textbox:#_x0000_s1056" inset=".5mm,0,.5mm,0">
              <w:txbxContent>
                <w:p w:rsidR="009E44E2" w:rsidRPr="009E44E2" w:rsidRDefault="009E44E2" w:rsidP="009E44E2">
                  <w:pPr>
                    <w:jc w:val="center"/>
                    <w:rPr>
                      <w:rFonts w:eastAsiaTheme="minorEastAsia"/>
                      <w:b/>
                      <w:sz w:val="16"/>
                    </w:rPr>
                  </w:pPr>
                  <w:r>
                    <w:rPr>
                      <w:b/>
                      <w:bCs/>
                      <w:sz w:val="16"/>
                      <w:lang w:val="ru"/>
                    </w:rPr>
                    <w:t>Отслеживание контакта</w:t>
                  </w:r>
                </w:p>
                <w:p w:rsidR="009E44E2" w:rsidRPr="009E44E2" w:rsidRDefault="009E44E2" w:rsidP="009E44E2">
                  <w:pPr>
                    <w:rPr>
                      <w:rFonts w:eastAsiaTheme="minorEastAsia"/>
                      <w:sz w:val="14"/>
                    </w:rPr>
                  </w:pPr>
                </w:p>
              </w:txbxContent>
            </v:textbox>
          </v:shape>
        </w:pict>
      </w:r>
      <w:r>
        <w:rPr>
          <w:noProof/>
          <w:sz w:val="20"/>
          <w:szCs w:val="20"/>
          <w:lang w:val="ru"/>
        </w:rPr>
        <w:pict>
          <v:shape id="_x0000_s1055" type="#_x0000_t202" style="position:absolute;left:0;text-align:left;margin-left:347pt;margin-top:98.25pt;width:69.5pt;height:19.5pt;z-index:251677696" fillcolor="#e9c5a1" stroked="f">
            <v:textbox style="mso-next-textbox:#_x0000_s1055" inset=".5mm,0,.5mm,0">
              <w:txbxContent>
                <w:p w:rsidR="009E44E2" w:rsidRPr="009E44E2" w:rsidRDefault="009E44E2" w:rsidP="009E44E2">
                  <w:pPr>
                    <w:jc w:val="center"/>
                    <w:rPr>
                      <w:rFonts w:eastAsiaTheme="minorEastAsia"/>
                      <w:b/>
                      <w:sz w:val="16"/>
                    </w:rPr>
                  </w:pPr>
                  <w:r>
                    <w:rPr>
                      <w:b/>
                      <w:bCs/>
                      <w:sz w:val="16"/>
                      <w:lang w:val="ru"/>
                    </w:rPr>
                    <w:t xml:space="preserve">Ведение </w:t>
                  </w:r>
                  <w:r>
                    <w:rPr>
                      <w:b/>
                      <w:bCs/>
                      <w:sz w:val="16"/>
                      <w:lang w:val="ru"/>
                    </w:rPr>
                    <w:t>пациента</w:t>
                  </w:r>
                </w:p>
                <w:p w:rsidR="009E44E2" w:rsidRPr="009E44E2" w:rsidRDefault="009E44E2" w:rsidP="009E44E2">
                  <w:pPr>
                    <w:rPr>
                      <w:rFonts w:eastAsiaTheme="minorEastAsia"/>
                      <w:sz w:val="14"/>
                    </w:rPr>
                  </w:pPr>
                </w:p>
              </w:txbxContent>
            </v:textbox>
          </v:shape>
        </w:pict>
      </w:r>
      <w:r>
        <w:rPr>
          <w:noProof/>
          <w:sz w:val="20"/>
          <w:szCs w:val="20"/>
          <w:lang w:val="ru"/>
        </w:rPr>
        <w:pict>
          <v:shape id="_x0000_s1054" type="#_x0000_t202" style="position:absolute;left:0;text-align:left;margin-left:181pt;margin-top:314.25pt;width:36.5pt;height:13pt;z-index:251676672" fillcolor="white [3212]" stroked="f">
            <v:textbox style="mso-next-textbox:#_x0000_s1054" inset=".5mm,0,.5mm,0">
              <w:txbxContent>
                <w:p w:rsidR="009E44E2" w:rsidRPr="009E44E2" w:rsidRDefault="009E44E2" w:rsidP="009E44E2">
                  <w:pPr>
                    <w:jc w:val="center"/>
                    <w:rPr>
                      <w:rFonts w:eastAsiaTheme="minorEastAsia"/>
                      <w:b/>
                      <w:sz w:val="14"/>
                    </w:rPr>
                  </w:pPr>
                  <w:r>
                    <w:rPr>
                      <w:b/>
                      <w:bCs/>
                      <w:sz w:val="14"/>
                      <w:lang w:val="ru"/>
                    </w:rPr>
                    <w:t>Да</w:t>
                  </w:r>
                </w:p>
                <w:p w:rsidR="009E44E2" w:rsidRPr="009E44E2" w:rsidRDefault="009E44E2" w:rsidP="009E44E2">
                  <w:pPr>
                    <w:jc w:val="center"/>
                    <w:rPr>
                      <w:rFonts w:eastAsiaTheme="minorEastAsia"/>
                      <w:sz w:val="14"/>
                    </w:rPr>
                  </w:pPr>
                </w:p>
              </w:txbxContent>
            </v:textbox>
          </v:shape>
        </w:pict>
      </w:r>
      <w:r>
        <w:rPr>
          <w:noProof/>
          <w:sz w:val="20"/>
          <w:szCs w:val="20"/>
          <w:lang w:val="ru"/>
        </w:rPr>
        <w:pict>
          <v:shape id="_x0000_s1053" type="#_x0000_t202" style="position:absolute;left:0;text-align:left;margin-left:86.5pt;margin-top:314.75pt;width:36.5pt;height:13pt;z-index:251675648" fillcolor="white [3212]" stroked="f">
            <v:textbox style="mso-next-textbox:#_x0000_s1053" inset=".5mm,0,.5mm,0">
              <w:txbxContent>
                <w:p w:rsidR="009E44E2" w:rsidRPr="009E44E2" w:rsidRDefault="009E44E2" w:rsidP="009E44E2">
                  <w:pPr>
                    <w:jc w:val="center"/>
                    <w:rPr>
                      <w:rFonts w:eastAsiaTheme="minorEastAsia"/>
                      <w:b/>
                      <w:sz w:val="14"/>
                    </w:rPr>
                  </w:pPr>
                  <w:r>
                    <w:rPr>
                      <w:b/>
                      <w:bCs/>
                      <w:sz w:val="14"/>
                      <w:lang w:val="ru"/>
                    </w:rPr>
                    <w:t>Нет</w:t>
                  </w:r>
                </w:p>
                <w:p w:rsidR="009E44E2" w:rsidRPr="009E44E2" w:rsidRDefault="009E44E2" w:rsidP="009E44E2">
                  <w:pPr>
                    <w:jc w:val="center"/>
                    <w:rPr>
                      <w:rFonts w:eastAsiaTheme="minorEastAsia"/>
                      <w:sz w:val="14"/>
                    </w:rPr>
                  </w:pPr>
                </w:p>
              </w:txbxContent>
            </v:textbox>
          </v:shape>
        </w:pict>
      </w:r>
      <w:r>
        <w:rPr>
          <w:noProof/>
          <w:sz w:val="20"/>
          <w:szCs w:val="20"/>
          <w:lang w:val="ru"/>
        </w:rPr>
        <w:pict>
          <v:shape id="_x0000_s1052" type="#_x0000_t202" style="position:absolute;left:0;text-align:left;margin-left:116.5pt;margin-top:273.25pt;width:70.5pt;height:25pt;z-index:251674624" fillcolor="white [3212]" stroked="f">
            <v:textbox style="mso-next-textbox:#_x0000_s1052" inset=".5mm,0,.5mm,0">
              <w:txbxContent>
                <w:p w:rsidR="009E44E2" w:rsidRPr="009E44E2" w:rsidRDefault="009E44E2" w:rsidP="009E44E2">
                  <w:pPr>
                    <w:jc w:val="center"/>
                    <w:rPr>
                      <w:rFonts w:eastAsiaTheme="minorEastAsia"/>
                      <w:b/>
                      <w:sz w:val="14"/>
                    </w:rPr>
                  </w:pPr>
                  <w:r>
                    <w:rPr>
                      <w:b/>
                      <w:bCs/>
                      <w:sz w:val="14"/>
                      <w:lang w:val="ru"/>
                    </w:rPr>
                    <w:t xml:space="preserve">Температура </w:t>
                  </w:r>
                  <w:r>
                    <w:rPr>
                      <w:b/>
                      <w:bCs/>
                      <w:sz w:val="14"/>
                      <w:lang w:val="ru"/>
                    </w:rPr>
                    <w:t>или респираторные симптомы?</w:t>
                  </w:r>
                </w:p>
                <w:p w:rsidR="009E44E2" w:rsidRPr="009E44E2" w:rsidRDefault="009E44E2" w:rsidP="009E44E2">
                  <w:pPr>
                    <w:jc w:val="center"/>
                    <w:rPr>
                      <w:rFonts w:eastAsiaTheme="minorEastAsia"/>
                      <w:sz w:val="14"/>
                    </w:rPr>
                  </w:pPr>
                </w:p>
              </w:txbxContent>
            </v:textbox>
          </v:shape>
        </w:pict>
      </w:r>
      <w:r>
        <w:rPr>
          <w:noProof/>
          <w:sz w:val="20"/>
          <w:szCs w:val="20"/>
          <w:lang w:val="ru"/>
        </w:rPr>
        <w:pict>
          <v:shape id="_x0000_s1051" type="#_x0000_t202" style="position:absolute;left:0;text-align:left;margin-left:357.5pt;margin-top:350.75pt;width:47.5pt;height:20pt;z-index:251673600" fillcolor="white [3212]" stroked="f">
            <v:textbox style="mso-next-textbox:#_x0000_s1051" inset=".5mm,0,.5mm,0">
              <w:txbxContent>
                <w:p w:rsidR="009E44E2" w:rsidRPr="009E44E2" w:rsidRDefault="009E44E2" w:rsidP="009E44E2">
                  <w:pPr>
                    <w:jc w:val="center"/>
                    <w:rPr>
                      <w:rFonts w:eastAsiaTheme="minorEastAsia"/>
                      <w:b/>
                      <w:sz w:val="14"/>
                    </w:rPr>
                  </w:pPr>
                  <w:r>
                    <w:rPr>
                      <w:b/>
                      <w:bCs/>
                      <w:sz w:val="14"/>
                      <w:lang w:val="ru"/>
                    </w:rPr>
                    <w:t xml:space="preserve">Лаб. </w:t>
                  </w:r>
                  <w:r>
                    <w:rPr>
                      <w:b/>
                      <w:bCs/>
                      <w:sz w:val="14"/>
                      <w:lang w:val="ru"/>
                    </w:rPr>
                    <w:t>тест</w:t>
                  </w:r>
                </w:p>
                <w:p w:rsidR="009E44E2" w:rsidRPr="009E44E2" w:rsidRDefault="009E44E2" w:rsidP="009E44E2">
                  <w:pPr>
                    <w:jc w:val="center"/>
                    <w:rPr>
                      <w:rFonts w:eastAsiaTheme="minorEastAsia"/>
                      <w:sz w:val="14"/>
                    </w:rPr>
                  </w:pPr>
                </w:p>
              </w:txbxContent>
            </v:textbox>
          </v:shape>
        </w:pict>
      </w:r>
      <w:r>
        <w:rPr>
          <w:noProof/>
          <w:sz w:val="20"/>
          <w:szCs w:val="20"/>
          <w:lang w:val="ru"/>
        </w:rPr>
        <w:pict>
          <v:shape id="_x0000_s1050" type="#_x0000_t202" style="position:absolute;left:0;text-align:left;margin-left:329.5pt;margin-top:278.25pt;width:40pt;height:11.5pt;z-index:251672576" fillcolor="white [3212]" stroked="f">
            <v:textbox style="mso-next-textbox:#_x0000_s1050" inset=".5mm,0,.5mm,0">
              <w:txbxContent>
                <w:p w:rsidR="009E44E2" w:rsidRPr="009E44E2" w:rsidRDefault="009E44E2" w:rsidP="009E44E2">
                  <w:pPr>
                    <w:jc w:val="center"/>
                    <w:rPr>
                      <w:rFonts w:eastAsiaTheme="minorEastAsia"/>
                      <w:b/>
                      <w:sz w:val="14"/>
                    </w:rPr>
                  </w:pPr>
                  <w:r>
                    <w:rPr>
                      <w:b/>
                      <w:bCs/>
                      <w:sz w:val="14"/>
                      <w:lang w:val="ru"/>
                    </w:rPr>
                    <w:t>Отсев</w:t>
                  </w:r>
                </w:p>
                <w:p w:rsidR="009E44E2" w:rsidRPr="009E44E2" w:rsidRDefault="009E44E2" w:rsidP="009E44E2">
                  <w:pPr>
                    <w:jc w:val="center"/>
                    <w:rPr>
                      <w:rFonts w:eastAsiaTheme="minorEastAsia"/>
                      <w:sz w:val="14"/>
                    </w:rPr>
                  </w:pPr>
                </w:p>
              </w:txbxContent>
            </v:textbox>
          </v:shape>
        </w:pict>
      </w:r>
      <w:r>
        <w:rPr>
          <w:noProof/>
          <w:sz w:val="20"/>
          <w:szCs w:val="20"/>
          <w:lang w:val="ru"/>
        </w:rPr>
        <w:pict>
          <v:shape id="_x0000_s1049" type="#_x0000_t202" style="position:absolute;left:0;text-align:left;margin-left:345.5pt;margin-top:210.75pt;width:64.5pt;height:9pt;z-index:251671552" fillcolor="white [3212]" stroked="f">
            <v:textbox style="mso-next-textbox:#_x0000_s1049" inset=".5mm,0,.5mm,0">
              <w:txbxContent>
                <w:p w:rsidR="009E44E2" w:rsidRPr="009E44E2" w:rsidRDefault="009E44E2" w:rsidP="009E44E2">
                  <w:pPr>
                    <w:jc w:val="center"/>
                    <w:rPr>
                      <w:rFonts w:eastAsiaTheme="minorEastAsia"/>
                      <w:b/>
                      <w:sz w:val="14"/>
                    </w:rPr>
                  </w:pPr>
                  <w:r>
                    <w:rPr>
                      <w:b/>
                      <w:bCs/>
                      <w:sz w:val="14"/>
                      <w:lang w:val="ru"/>
                    </w:rPr>
                    <w:t>Подтвержд.</w:t>
                  </w:r>
                </w:p>
                <w:p w:rsidR="009E44E2" w:rsidRPr="009E44E2" w:rsidRDefault="009E44E2" w:rsidP="009E44E2">
                  <w:pPr>
                    <w:jc w:val="center"/>
                    <w:rPr>
                      <w:rFonts w:eastAsiaTheme="minorEastAsia"/>
                      <w:sz w:val="14"/>
                    </w:rPr>
                  </w:pPr>
                </w:p>
              </w:txbxContent>
            </v:textbox>
          </v:shape>
        </w:pict>
      </w:r>
      <w:r>
        <w:rPr>
          <w:noProof/>
          <w:sz w:val="20"/>
          <w:szCs w:val="20"/>
          <w:lang w:val="ru"/>
        </w:rPr>
        <w:pict>
          <v:shape id="_x0000_s1048" type="#_x0000_t202" style="position:absolute;left:0;text-align:left;margin-left:187pt;margin-top:114.25pt;width:67.7pt;height:31pt;z-index:251670528" fillcolor="#dceaf0" stroked="f">
            <v:textbox style="mso-next-textbox:#_x0000_s1048" inset=".5mm,0,.5mm,0">
              <w:txbxContent>
                <w:p w:rsidR="009E44E2" w:rsidRPr="00B22A87" w:rsidRDefault="009E44E2" w:rsidP="009E44E2">
                  <w:pPr>
                    <w:jc w:val="center"/>
                    <w:rPr>
                      <w:rFonts w:eastAsiaTheme="minorEastAsia"/>
                      <w:b/>
                      <w:sz w:val="14"/>
                      <w:lang w:val="ru-RU"/>
                    </w:rPr>
                  </w:pPr>
                  <w:r>
                    <w:rPr>
                      <w:b/>
                      <w:bCs/>
                      <w:sz w:val="14"/>
                      <w:lang w:val="ru"/>
                    </w:rPr>
                    <w:t xml:space="preserve">Близкий </w:t>
                  </w:r>
                  <w:r>
                    <w:rPr>
                      <w:b/>
                      <w:bCs/>
                      <w:sz w:val="14"/>
                      <w:lang w:val="ru"/>
                    </w:rPr>
                    <w:t>контакт (выс. риск. заражения)</w:t>
                  </w:r>
                </w:p>
                <w:p w:rsidR="009E44E2" w:rsidRPr="00B22A87" w:rsidRDefault="009E44E2" w:rsidP="009E44E2">
                  <w:pPr>
                    <w:jc w:val="center"/>
                    <w:rPr>
                      <w:rFonts w:eastAsiaTheme="minorEastAsia"/>
                      <w:sz w:val="14"/>
                      <w:lang w:val="ru-RU"/>
                    </w:rPr>
                  </w:pPr>
                </w:p>
              </w:txbxContent>
            </v:textbox>
          </v:shape>
        </w:pict>
      </w:r>
      <w:r>
        <w:rPr>
          <w:noProof/>
          <w:sz w:val="20"/>
          <w:szCs w:val="20"/>
          <w:lang w:val="ru"/>
        </w:rPr>
        <w:pict>
          <v:shape id="_x0000_s1047" type="#_x0000_t202" style="position:absolute;left:0;text-align:left;margin-left:50.3pt;margin-top:114.25pt;width:67.7pt;height:31pt;z-index:251669504" fillcolor="#dceaf0" stroked="f">
            <v:textbox style="mso-next-textbox:#_x0000_s1047" inset=".5mm,0,.5mm,0">
              <w:txbxContent>
                <w:p w:rsidR="009E44E2" w:rsidRPr="00B22A87" w:rsidRDefault="009E44E2" w:rsidP="009E44E2">
                  <w:pPr>
                    <w:jc w:val="center"/>
                    <w:rPr>
                      <w:rFonts w:eastAsiaTheme="minorEastAsia"/>
                      <w:b/>
                      <w:sz w:val="14"/>
                      <w:lang w:val="ru-RU"/>
                    </w:rPr>
                  </w:pPr>
                  <w:r>
                    <w:rPr>
                      <w:b/>
                      <w:bCs/>
                      <w:sz w:val="14"/>
                      <w:lang w:val="ru"/>
                    </w:rPr>
                    <w:t xml:space="preserve">Случайный </w:t>
                  </w:r>
                  <w:r>
                    <w:rPr>
                      <w:b/>
                      <w:bCs/>
                      <w:sz w:val="14"/>
                      <w:lang w:val="ru"/>
                    </w:rPr>
                    <w:t>контакт (низ. риск. заражения)</w:t>
                  </w:r>
                </w:p>
                <w:p w:rsidR="009E44E2" w:rsidRPr="00B22A87" w:rsidRDefault="009E44E2" w:rsidP="009E44E2">
                  <w:pPr>
                    <w:jc w:val="center"/>
                    <w:rPr>
                      <w:rFonts w:eastAsiaTheme="minorEastAsia"/>
                      <w:sz w:val="14"/>
                      <w:lang w:val="ru-RU"/>
                    </w:rPr>
                  </w:pPr>
                </w:p>
              </w:txbxContent>
            </v:textbox>
          </v:shape>
        </w:pict>
      </w:r>
      <w:r>
        <w:rPr>
          <w:noProof/>
          <w:sz w:val="20"/>
          <w:szCs w:val="20"/>
          <w:lang w:val="ru"/>
        </w:rPr>
        <w:pict>
          <v:shape id="_x0000_s1046" type="#_x0000_t202" style="position:absolute;left:0;text-align:left;margin-left:23.5pt;margin-top:350.75pt;width:98.35pt;height:22.5pt;z-index:251668480" fillcolor="#dceaf0" stroked="f">
            <v:textbox style="mso-next-textbox:#_x0000_s1046" inset=".5mm,0,.5mm,0">
              <w:txbxContent>
                <w:p w:rsidR="009E44E2" w:rsidRPr="009E44E2" w:rsidRDefault="009E44E2" w:rsidP="009E44E2">
                  <w:pPr>
                    <w:jc w:val="center"/>
                    <w:rPr>
                      <w:rFonts w:eastAsiaTheme="minorEastAsia"/>
                      <w:sz w:val="14"/>
                    </w:rPr>
                  </w:pPr>
                  <w:r>
                    <w:rPr>
                      <w:b/>
                      <w:bCs/>
                      <w:sz w:val="14"/>
                      <w:lang w:val="ru"/>
                    </w:rPr>
                    <w:t xml:space="preserve">Больше </w:t>
                  </w:r>
                  <w:r>
                    <w:rPr>
                      <w:b/>
                      <w:bCs/>
                      <w:sz w:val="14"/>
                      <w:lang w:val="ru"/>
                    </w:rPr>
                    <w:t>риска nCoV нет</w:t>
                  </w:r>
                </w:p>
              </w:txbxContent>
            </v:textbox>
          </v:shape>
        </w:pict>
      </w:r>
      <w:r>
        <w:rPr>
          <w:noProof/>
          <w:sz w:val="20"/>
          <w:szCs w:val="20"/>
          <w:lang w:val="ru"/>
        </w:rPr>
        <w:pict>
          <v:shape id="_x0000_s1045" type="#_x0000_t202" style="position:absolute;left:0;text-align:left;margin-left:179.15pt;margin-top:343.75pt;width:122.35pt;height:32.5pt;z-index:251667456" fillcolor="#dceaf0" stroked="f">
            <v:textbox style="mso-next-textbox:#_x0000_s1045" inset=".5mm,0,.5mm,0">
              <w:txbxContent>
                <w:p w:rsidR="009E44E2" w:rsidRPr="00B22A87" w:rsidRDefault="009E44E2" w:rsidP="009E44E2">
                  <w:pPr>
                    <w:jc w:val="center"/>
                    <w:rPr>
                      <w:rFonts w:eastAsiaTheme="minorEastAsia"/>
                      <w:sz w:val="14"/>
                      <w:lang w:val="ru-RU"/>
                    </w:rPr>
                  </w:pPr>
                  <w:r>
                    <w:rPr>
                      <w:b/>
                      <w:bCs/>
                      <w:sz w:val="14"/>
                      <w:lang w:val="ru"/>
                    </w:rPr>
                    <w:t xml:space="preserve">Самоизолироваться </w:t>
                  </w:r>
                  <w:r>
                    <w:rPr>
                      <w:b/>
                      <w:bCs/>
                      <w:sz w:val="14"/>
                      <w:lang w:val="ru"/>
                    </w:rPr>
                    <w:t>и немедленно обратиться за мед. помощью</w:t>
                  </w:r>
                </w:p>
              </w:txbxContent>
            </v:textbox>
          </v:shape>
        </w:pict>
      </w:r>
      <w:r>
        <w:rPr>
          <w:noProof/>
          <w:sz w:val="20"/>
          <w:szCs w:val="20"/>
          <w:lang w:val="ru"/>
        </w:rPr>
        <w:pict>
          <v:shape id="_x0000_s1044" type="#_x0000_t202" style="position:absolute;left:0;text-align:left;margin-left:216.15pt;margin-top:265.25pt;width:77.85pt;height:39.5pt;z-index:251666432" fillcolor="#e9c5a1" stroked="f">
            <v:textbox style="mso-next-textbox:#_x0000_s1044" inset=".5mm,0,.5mm,0">
              <w:txbxContent>
                <w:p w:rsidR="009E44E2" w:rsidRPr="00B22A87" w:rsidRDefault="009E44E2" w:rsidP="009E44E2">
                  <w:pPr>
                    <w:rPr>
                      <w:rFonts w:eastAsiaTheme="minorEastAsia"/>
                      <w:sz w:val="14"/>
                      <w:lang w:val="ru-RU"/>
                    </w:rPr>
                  </w:pPr>
                  <w:r>
                    <w:rPr>
                      <w:b/>
                      <w:bCs/>
                      <w:sz w:val="14"/>
                      <w:lang w:val="ru"/>
                    </w:rPr>
                    <w:t xml:space="preserve">Продолжать </w:t>
                  </w:r>
                  <w:r>
                    <w:rPr>
                      <w:b/>
                      <w:bCs/>
                      <w:sz w:val="14"/>
                      <w:lang w:val="ru"/>
                    </w:rPr>
                    <w:t>мониторинг до прошествии 14 дней после контакта</w:t>
                  </w:r>
                </w:p>
              </w:txbxContent>
            </v:textbox>
          </v:shape>
        </w:pict>
      </w:r>
      <w:r>
        <w:rPr>
          <w:noProof/>
          <w:lang w:val="ru"/>
        </w:rPr>
        <w:pict>
          <v:shape id="_x0000_s1043" type="#_x0000_t202" style="position:absolute;left:0;text-align:left;margin-left:148.5pt;margin-top:163.25pt;width:148.5pt;height:66.5pt;z-index:251665408" fillcolor="#e9c5a1" stroked="f">
            <v:textbox style="mso-next-textbox:#_x0000_s1043" inset=".5mm,0,.5mm,0">
              <w:txbxContent>
                <w:p w:rsidR="009E44E2" w:rsidRPr="00B22A87" w:rsidRDefault="009E44E2" w:rsidP="009E44E2">
                  <w:pPr>
                    <w:jc w:val="center"/>
                    <w:rPr>
                      <w:rFonts w:eastAsiaTheme="minorEastAsia"/>
                      <w:b/>
                      <w:sz w:val="14"/>
                      <w:lang w:val="ru-RU"/>
                    </w:rPr>
                  </w:pPr>
                  <w:r>
                    <w:rPr>
                      <w:b/>
                      <w:bCs/>
                      <w:sz w:val="14"/>
                      <w:lang w:val="ru"/>
                    </w:rPr>
                    <w:t xml:space="preserve">Актив. </w:t>
                  </w:r>
                  <w:r>
                    <w:rPr>
                      <w:b/>
                      <w:bCs/>
                      <w:sz w:val="14"/>
                      <w:lang w:val="ru"/>
                    </w:rPr>
                    <w:t>мониторинг органами здравоохранения в теч. 14 дней после посл. контакта</w:t>
                  </w:r>
                </w:p>
                <w:p w:rsidR="009E44E2" w:rsidRPr="00B22A87" w:rsidRDefault="009E44E2" w:rsidP="009E44E2">
                  <w:pPr>
                    <w:rPr>
                      <w:rFonts w:eastAsiaTheme="minorEastAsia"/>
                      <w:b/>
                      <w:sz w:val="14"/>
                      <w:lang w:val="ru-RU"/>
                    </w:rPr>
                  </w:pPr>
                </w:p>
                <w:p w:rsidR="009E44E2" w:rsidRPr="00B22A87" w:rsidRDefault="009E44E2" w:rsidP="009E44E2">
                  <w:pPr>
                    <w:rPr>
                      <w:rFonts w:eastAsiaTheme="minorEastAsia"/>
                      <w:sz w:val="14"/>
                      <w:lang w:val="ru-RU"/>
                    </w:rPr>
                  </w:pPr>
                  <w:r>
                    <w:rPr>
                      <w:rFonts w:eastAsiaTheme="minorEastAsia"/>
                      <w:sz w:val="14"/>
                      <w:lang w:val="ru"/>
                    </w:rPr>
                    <w:t>* Ежеднев. мониторинг симптомов</w:t>
                  </w:r>
                </w:p>
                <w:p w:rsidR="009E44E2" w:rsidRPr="00B22A87" w:rsidRDefault="009E44E2" w:rsidP="009E44E2">
                  <w:pPr>
                    <w:rPr>
                      <w:rFonts w:eastAsiaTheme="minorEastAsia"/>
                      <w:sz w:val="14"/>
                      <w:lang w:val="ru-RU"/>
                    </w:rPr>
                  </w:pPr>
                  <w:r>
                    <w:rPr>
                      <w:rFonts w:eastAsiaTheme="minorEastAsia"/>
                      <w:sz w:val="14"/>
                      <w:lang w:val="ru"/>
                    </w:rPr>
                    <w:t>* Избегание соц. контактов</w:t>
                  </w:r>
                </w:p>
                <w:p w:rsidR="009E44E2" w:rsidRPr="00B22A87" w:rsidRDefault="009E44E2" w:rsidP="009E44E2">
                  <w:pPr>
                    <w:rPr>
                      <w:rFonts w:eastAsiaTheme="minorEastAsia"/>
                      <w:sz w:val="14"/>
                      <w:lang w:val="ru-RU"/>
                    </w:rPr>
                  </w:pPr>
                  <w:r>
                    <w:rPr>
                      <w:rFonts w:eastAsiaTheme="minorEastAsia"/>
                      <w:sz w:val="14"/>
                      <w:lang w:val="ru"/>
                    </w:rPr>
                    <w:t>* Избегание путешествий</w:t>
                  </w:r>
                </w:p>
                <w:p w:rsidR="009E44E2" w:rsidRPr="00B22A87" w:rsidRDefault="009E44E2" w:rsidP="009E44E2">
                  <w:pPr>
                    <w:rPr>
                      <w:rFonts w:eastAsiaTheme="minorEastAsia"/>
                      <w:sz w:val="14"/>
                      <w:lang w:val="ru-RU"/>
                    </w:rPr>
                  </w:pPr>
                  <w:r>
                    <w:rPr>
                      <w:rFonts w:eastAsiaTheme="minorEastAsia"/>
                      <w:sz w:val="14"/>
                      <w:lang w:val="ru"/>
                    </w:rPr>
                    <w:t>* Оставаться доступным для акт. мониторинга</w:t>
                  </w:r>
                </w:p>
              </w:txbxContent>
            </v:textbox>
          </v:shape>
        </w:pict>
      </w:r>
      <w:r>
        <w:rPr>
          <w:noProof/>
          <w:lang w:val="ru"/>
        </w:rPr>
        <w:pict>
          <v:shape id="_x0000_s1042" type="#_x0000_t202" style="position:absolute;left:0;text-align:left;margin-left:38.5pt;margin-top:163.25pt;width:92.5pt;height:63.5pt;z-index:251664384" fillcolor="#e9c5a1" stroked="f">
            <v:textbox style="mso-next-textbox:#_x0000_s1042" inset=".5mm,0,.5mm,0">
              <w:txbxContent>
                <w:p w:rsidR="009E44E2" w:rsidRPr="00B22A87" w:rsidRDefault="009E44E2" w:rsidP="009E44E2">
                  <w:pPr>
                    <w:jc w:val="center"/>
                    <w:rPr>
                      <w:rFonts w:eastAsiaTheme="minorEastAsia"/>
                      <w:b/>
                      <w:sz w:val="14"/>
                      <w:lang w:val="ru-RU"/>
                    </w:rPr>
                  </w:pPr>
                  <w:r>
                    <w:rPr>
                      <w:b/>
                      <w:bCs/>
                      <w:sz w:val="14"/>
                      <w:lang w:val="ru"/>
                    </w:rPr>
                    <w:t xml:space="preserve">Самомониторинг </w:t>
                  </w:r>
                  <w:r>
                    <w:rPr>
                      <w:b/>
                      <w:bCs/>
                      <w:sz w:val="14"/>
                      <w:lang w:val="ru"/>
                    </w:rPr>
                    <w:t>на симптомы nCoV в теч. 14 дней после посл. контакта</w:t>
                  </w:r>
                </w:p>
                <w:p w:rsidR="009E44E2" w:rsidRPr="00B22A87" w:rsidRDefault="009E44E2" w:rsidP="009E44E2">
                  <w:pPr>
                    <w:rPr>
                      <w:rFonts w:eastAsiaTheme="minorEastAsia"/>
                      <w:b/>
                      <w:sz w:val="14"/>
                      <w:lang w:val="ru-RU"/>
                    </w:rPr>
                  </w:pPr>
                </w:p>
                <w:p w:rsidR="009E44E2" w:rsidRPr="009E44E2" w:rsidRDefault="009E44E2" w:rsidP="009E44E2">
                  <w:pPr>
                    <w:rPr>
                      <w:rFonts w:eastAsiaTheme="minorEastAsia"/>
                      <w:sz w:val="14"/>
                    </w:rPr>
                  </w:pPr>
                  <w:r>
                    <w:rPr>
                      <w:rFonts w:eastAsiaTheme="minorEastAsia"/>
                      <w:sz w:val="14"/>
                      <w:lang w:val="ru"/>
                    </w:rPr>
                    <w:t>* Ежеднев. мониторинг симптомов</w:t>
                  </w:r>
                </w:p>
              </w:txbxContent>
            </v:textbox>
          </v:shape>
        </w:pict>
      </w:r>
      <w:r>
        <w:rPr>
          <w:noProof/>
          <w:sz w:val="19"/>
          <w:szCs w:val="19"/>
          <w:lang w:val="ru"/>
        </w:rPr>
        <w:pict>
          <v:shape id="_x0000_s1039" type="#_x0000_t202" style="position:absolute;left:0;text-align:left;margin-left:118pt;margin-top:62.75pt;width:64.5pt;height:16.5pt;z-index:251661312" stroked="f">
            <v:textbox>
              <w:txbxContent>
                <w:p w:rsidR="009E44E2" w:rsidRPr="009E44E2" w:rsidRDefault="009E44E2" w:rsidP="009E44E2">
                  <w:pPr>
                    <w:jc w:val="center"/>
                    <w:rPr>
                      <w:rFonts w:eastAsiaTheme="minorEastAsia"/>
                      <w:b/>
                      <w:sz w:val="16"/>
                    </w:rPr>
                  </w:pPr>
                  <w:r>
                    <w:rPr>
                      <w:b/>
                      <w:bCs/>
                      <w:sz w:val="16"/>
                      <w:lang w:val="ru"/>
                    </w:rPr>
                    <w:t xml:space="preserve">Тип </w:t>
                  </w:r>
                  <w:r>
                    <w:rPr>
                      <w:b/>
                      <w:bCs/>
                      <w:sz w:val="16"/>
                      <w:lang w:val="ru"/>
                    </w:rPr>
                    <w:t>контакта</w:t>
                  </w:r>
                </w:p>
              </w:txbxContent>
            </v:textbox>
          </v:shape>
        </w:pict>
      </w:r>
      <w:r>
        <w:rPr>
          <w:noProof/>
          <w:sz w:val="20"/>
          <w:szCs w:val="20"/>
          <w:lang w:val="ru"/>
        </w:rPr>
        <w:pict>
          <v:shape id="_x0000_s1036" type="#_x0000_t202" style="position:absolute;left:0;text-align:left;margin-left:69.15pt;margin-top:5.75pt;width:168.85pt;height:28pt;z-index:251658240" stroked="f">
            <v:textbox>
              <w:txbxContent>
                <w:p w:rsidR="009E44E2" w:rsidRPr="00B22A87" w:rsidRDefault="009E44E2" w:rsidP="009E44E2">
                  <w:pPr>
                    <w:jc w:val="center"/>
                    <w:rPr>
                      <w:rFonts w:eastAsiaTheme="minorEastAsia"/>
                      <w:b/>
                      <w:sz w:val="18"/>
                      <w:lang w:val="ru-RU"/>
                    </w:rPr>
                  </w:pPr>
                  <w:r>
                    <w:rPr>
                      <w:b/>
                      <w:bCs/>
                      <w:sz w:val="18"/>
                      <w:lang w:val="ru"/>
                    </w:rPr>
                    <w:t xml:space="preserve">Бессимптомное </w:t>
                  </w:r>
                  <w:r>
                    <w:rPr>
                      <w:b/>
                      <w:bCs/>
                      <w:sz w:val="18"/>
                      <w:lang w:val="ru"/>
                    </w:rPr>
                    <w:t>лицо, контактировавшее с больным nCOV</w:t>
                  </w:r>
                </w:p>
              </w:txbxContent>
            </v:textbox>
          </v:shape>
        </w:pict>
      </w:r>
      <w:r>
        <w:rPr>
          <w:sz w:val="20"/>
          <w:szCs w:val="20"/>
          <w:lang w:val="ru"/>
        </w:rPr>
        <w:pict>
          <v:shape id="_x0000_i1028" type="#_x0000_t75" style="width:450.8pt;height:390.1pt;mso-position-horizontal-relative:char;mso-position-vertical-relative:line">
            <v:imagedata r:id="rId12" o:title=""/>
          </v:shape>
        </w:pict>
      </w:r>
    </w:p>
    <w:p w:rsidR="007E551E" w:rsidRDefault="007E551E">
      <w:pPr>
        <w:spacing w:line="200" w:lineRule="atLeast"/>
        <w:rPr>
          <w:rFonts w:ascii="Tahoma" w:eastAsia="Tahoma" w:hAnsi="Tahoma" w:cs="Tahoma"/>
          <w:sz w:val="20"/>
          <w:szCs w:val="20"/>
        </w:rPr>
        <w:sectPr w:rsidR="007E551E">
          <w:pgSz w:w="11910" w:h="16850"/>
          <w:pgMar w:top="1300" w:right="1180" w:bottom="740" w:left="1320" w:header="1088" w:footer="548" w:gutter="0"/>
          <w:cols w:space="720"/>
        </w:sectPr>
      </w:pPr>
    </w:p>
    <w:p w:rsidR="007E551E" w:rsidRDefault="007E551E">
      <w:pPr>
        <w:spacing w:before="19" w:line="240" w:lineRule="atLeast"/>
        <w:rPr>
          <w:rFonts w:ascii="Tahoma" w:eastAsia="Tahoma" w:hAnsi="Tahoma" w:cs="Tahoma"/>
          <w:sz w:val="19"/>
          <w:szCs w:val="19"/>
        </w:rPr>
      </w:pPr>
    </w:p>
    <w:p w:rsidR="007E551E" w:rsidRDefault="0091635B">
      <w:pPr>
        <w:spacing w:before="32"/>
        <w:ind w:left="100"/>
        <w:rPr>
          <w:rFonts w:ascii="Tahoma" w:eastAsia="Tahoma" w:hAnsi="Tahoma" w:cs="Tahoma"/>
          <w:sz w:val="40"/>
          <w:szCs w:val="40"/>
        </w:rPr>
      </w:pPr>
      <w:r>
        <w:rPr>
          <w:rFonts w:ascii="Tahoma" w:hAnsi="Tahoma"/>
          <w:b/>
          <w:bCs/>
          <w:color w:val="69AD22"/>
          <w:sz w:val="40"/>
          <w:lang w:val="ru"/>
        </w:rPr>
        <w:t>Использованные источники</w:t>
      </w:r>
    </w:p>
    <w:p w:rsidR="007E551E" w:rsidRDefault="0091635B">
      <w:pPr>
        <w:pStyle w:val="BodyText"/>
        <w:numPr>
          <w:ilvl w:val="0"/>
          <w:numId w:val="1"/>
        </w:numPr>
        <w:tabs>
          <w:tab w:val="left" w:pos="667"/>
        </w:tabs>
        <w:spacing w:before="241"/>
        <w:ind w:right="314" w:hanging="566"/>
      </w:pPr>
      <w:r w:rsidRPr="00B22A87">
        <w:t xml:space="preserve">World Health Organization (WHO). Home care for patients with suspected novel coronavirus (2019-nCoV) infection presenting with mild symptoms and management of contacts. Interim guidance. 2020 [updated January 2020]. </w:t>
      </w:r>
      <w:r>
        <w:rPr>
          <w:lang w:val="ru"/>
        </w:rPr>
        <w:t>Доступно</w:t>
      </w:r>
      <w:r w:rsidRPr="00B22A87">
        <w:t xml:space="preserve"> </w:t>
      </w:r>
      <w:r>
        <w:rPr>
          <w:lang w:val="ru"/>
        </w:rPr>
        <w:t>по</w:t>
      </w:r>
      <w:r w:rsidRPr="00B22A87">
        <w:t xml:space="preserve"> </w:t>
      </w:r>
      <w:r>
        <w:rPr>
          <w:lang w:val="ru"/>
        </w:rPr>
        <w:t>адресу</w:t>
      </w:r>
      <w:r w:rsidRPr="00B22A87">
        <w:t xml:space="preserve">: </w:t>
      </w:r>
      <w:hyperlink r:id="rId13">
        <w:r w:rsidRPr="00B22A87">
          <w:rPr>
            <w:color w:val="4F6128"/>
            <w:u w:val="single"/>
          </w:rPr>
          <w:t>https://www.who.int/publications-detail/home-care-for-patients-with-</w:t>
        </w:r>
      </w:hyperlink>
      <w:r w:rsidRPr="00B22A87">
        <w:rPr>
          <w:color w:val="4F6128"/>
        </w:rPr>
        <w:t xml:space="preserve"> </w:t>
      </w:r>
      <w:hyperlink r:id="rId14">
        <w:r w:rsidRPr="00B22A87">
          <w:rPr>
            <w:color w:val="4F6128"/>
          </w:rPr>
          <w:t xml:space="preserve"> </w:t>
        </w:r>
        <w:r w:rsidRPr="00B22A87">
          <w:rPr>
            <w:color w:val="4F6128"/>
            <w:u w:val="single"/>
          </w:rPr>
          <w:t>suspected-novel-coronavirus-(2019-nCoV)-infection-presenting-with-mild-symptoms-and-management-of-</w:t>
        </w:r>
      </w:hyperlink>
      <w:r w:rsidRPr="00B22A87">
        <w:rPr>
          <w:color w:val="4F6128"/>
        </w:rPr>
        <w:t xml:space="preserve"> </w:t>
      </w:r>
      <w:hyperlink r:id="rId15">
        <w:r w:rsidRPr="00B22A87">
          <w:rPr>
            <w:color w:val="4F6128"/>
          </w:rPr>
          <w:t xml:space="preserve"> </w:t>
        </w:r>
        <w:r w:rsidRPr="00B22A87">
          <w:rPr>
            <w:color w:val="4F6128"/>
            <w:u w:val="single"/>
          </w:rPr>
          <w:t>contacts</w:t>
        </w:r>
      </w:hyperlink>
    </w:p>
    <w:p w:rsidR="007E551E" w:rsidRDefault="0091635B">
      <w:pPr>
        <w:pStyle w:val="BodyText"/>
        <w:numPr>
          <w:ilvl w:val="0"/>
          <w:numId w:val="1"/>
        </w:numPr>
        <w:tabs>
          <w:tab w:val="left" w:pos="667"/>
        </w:tabs>
        <w:spacing w:before="58"/>
        <w:ind w:right="521" w:hanging="566"/>
      </w:pPr>
      <w:r w:rsidRPr="00B22A87">
        <w:t>European Centre for Disease Prevention and Control (ECDC). Risk assessment guidelines for infectious diseases transmitted on aircraft (RAGIDA) Middle East Respiratory Syndrome Coronavirus (MERS-</w:t>
      </w:r>
      <w:proofErr w:type="spellStart"/>
      <w:r w:rsidRPr="00B22A87">
        <w:t>CoV</w:t>
      </w:r>
      <w:proofErr w:type="spellEnd"/>
      <w:r w:rsidRPr="00B22A87">
        <w:t xml:space="preserve">) 2020 [updated January 2020]. </w:t>
      </w:r>
      <w:r>
        <w:rPr>
          <w:lang w:val="ru"/>
        </w:rPr>
        <w:t>Доступно</w:t>
      </w:r>
      <w:r w:rsidRPr="00B22A87">
        <w:t xml:space="preserve"> </w:t>
      </w:r>
      <w:r>
        <w:rPr>
          <w:lang w:val="ru"/>
        </w:rPr>
        <w:t>по</w:t>
      </w:r>
      <w:r w:rsidRPr="00B22A87">
        <w:t xml:space="preserve"> </w:t>
      </w:r>
      <w:r>
        <w:rPr>
          <w:lang w:val="ru"/>
        </w:rPr>
        <w:t>адресу</w:t>
      </w:r>
      <w:r w:rsidRPr="00B22A87">
        <w:t xml:space="preserve">: </w:t>
      </w:r>
      <w:r w:rsidRPr="00B22A87">
        <w:rPr>
          <w:color w:val="4F6128"/>
        </w:rPr>
        <w:t xml:space="preserve"> </w:t>
      </w:r>
      <w:hyperlink r:id="rId16">
        <w:r w:rsidRPr="00B22A87">
          <w:rPr>
            <w:color w:val="4F6128"/>
            <w:u w:val="single"/>
          </w:rPr>
          <w:t>https://www.ecdc.europa.eu/sites/default/files/documents/infectious-diseases-transmitted-on-aircrafts-</w:t>
        </w:r>
      </w:hyperlink>
      <w:r w:rsidRPr="00B22A87">
        <w:rPr>
          <w:color w:val="4F6128"/>
        </w:rPr>
        <w:t xml:space="preserve"> </w:t>
      </w:r>
      <w:hyperlink r:id="rId17">
        <w:r w:rsidRPr="00B22A87">
          <w:rPr>
            <w:color w:val="4F6128"/>
          </w:rPr>
          <w:t xml:space="preserve"> </w:t>
        </w:r>
        <w:r w:rsidRPr="00B22A87">
          <w:rPr>
            <w:color w:val="4F6128"/>
            <w:u w:val="single"/>
          </w:rPr>
          <w:t>ragida-risk-assessment-guidelines.pdf</w:t>
        </w:r>
      </w:hyperlink>
    </w:p>
    <w:p w:rsidR="007E551E" w:rsidRDefault="0091635B">
      <w:pPr>
        <w:pStyle w:val="BodyText"/>
        <w:numPr>
          <w:ilvl w:val="0"/>
          <w:numId w:val="1"/>
        </w:numPr>
        <w:tabs>
          <w:tab w:val="left" w:pos="667"/>
        </w:tabs>
        <w:spacing w:before="58"/>
        <w:ind w:right="489" w:hanging="566"/>
      </w:pPr>
      <w:r w:rsidRPr="00B22A87">
        <w:t>Huang C, Wang Y, Li X, Ren L, Zhao J, Hu Y, et al. Clinical features of patients infected with 2019 novel coronavirus in Wuhan, China. The Lancet. 24 January 2020.</w:t>
      </w:r>
    </w:p>
    <w:sectPr w:rsidR="007E551E">
      <w:pgSz w:w="11910" w:h="16850"/>
      <w:pgMar w:top="1300" w:right="1180" w:bottom="740" w:left="1340" w:header="1088"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04" w:rsidRDefault="004C1C04">
      <w:r>
        <w:separator/>
      </w:r>
    </w:p>
  </w:endnote>
  <w:endnote w:type="continuationSeparator" w:id="0">
    <w:p w:rsidR="004C1C04" w:rsidRDefault="004C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51E" w:rsidRDefault="004C1C04">
    <w:pPr>
      <w:spacing w:line="14" w:lineRule="auto"/>
      <w:rPr>
        <w:sz w:val="20"/>
        <w:szCs w:val="20"/>
      </w:rPr>
    </w:pPr>
    <w:r>
      <w:rPr>
        <w:lang w:val="ru"/>
      </w:rPr>
      <w:pict>
        <v:shapetype id="_x0000_t202" coordsize="21600,21600" o:spt="202" path="m,l,21600r21600,l21600,xe">
          <v:stroke joinstyle="miter"/>
          <v:path gradientshapeok="t" o:connecttype="rect"/>
        </v:shapetype>
        <v:shape id="_x0000_s2049" type="#_x0000_t202" style="position:absolute;margin-left:293.45pt;margin-top:803.65pt;width:8.4pt;height:10.05pt;z-index:-251657216;mso-position-horizontal-relative:page;mso-position-vertical-relative:page" filled="f" stroked="f">
          <v:textbox inset="0,0,0,0">
            <w:txbxContent>
              <w:p w:rsidR="007E551E" w:rsidRDefault="0091635B">
                <w:pPr>
                  <w:spacing w:line="186" w:lineRule="exact"/>
                  <w:ind w:left="40"/>
                  <w:rPr>
                    <w:rFonts w:ascii="Tahoma" w:eastAsia="Tahoma" w:hAnsi="Tahoma" w:cs="Tahoma"/>
                    <w:sz w:val="16"/>
                    <w:szCs w:val="16"/>
                  </w:rPr>
                </w:pPr>
                <w:r>
                  <w:rPr>
                    <w:rFonts w:ascii="Tahoma" w:hAnsi="Tahoma"/>
                    <w:lang w:val="ru"/>
                  </w:rPr>
                  <w:fldChar w:fldCharType="begin"/>
                </w:r>
                <w:r>
                  <w:rPr>
                    <w:rFonts w:ascii="Tahoma" w:hAnsi="Tahoma"/>
                    <w:sz w:val="16"/>
                    <w:lang w:val="ru"/>
                  </w:rPr>
                  <w:instrText xml:space="preserve"> PAGE </w:instrText>
                </w:r>
                <w:r>
                  <w:rPr>
                    <w:rFonts w:ascii="Tahoma" w:hAnsi="Tahoma"/>
                    <w:lang w:val="ru"/>
                  </w:rPr>
                  <w:fldChar w:fldCharType="separate"/>
                </w:r>
                <w:r>
                  <w:rPr>
                    <w:rFonts w:ascii="Tahoma" w:hAnsi="Tahoma"/>
                    <w:noProof/>
                    <w:sz w:val="16"/>
                    <w:lang w:val="ru"/>
                  </w:rPr>
                  <w:t>2</w:t>
                </w:r>
                <w:r>
                  <w:rPr>
                    <w:rFonts w:ascii="Tahoma" w:hAnsi="Tahoma"/>
                    <w:lang w:val="ru"/>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04" w:rsidRDefault="004C1C04">
      <w:r>
        <w:separator/>
      </w:r>
    </w:p>
  </w:footnote>
  <w:footnote w:type="continuationSeparator" w:id="0">
    <w:p w:rsidR="004C1C04" w:rsidRDefault="004C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51E" w:rsidRDefault="004C1C04">
    <w:pPr>
      <w:spacing w:line="14" w:lineRule="auto"/>
      <w:rPr>
        <w:sz w:val="20"/>
        <w:szCs w:val="20"/>
      </w:rPr>
    </w:pPr>
    <w:r>
      <w:rPr>
        <w:lang w:val="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73.5pt;margin-top:63.7pt;width:457pt;height:1.5pt;z-index:-251660288;mso-position-horizontal-relative:page;mso-position-vertical-relative:page">
          <v:imagedata r:id="rId1" o:title=""/>
          <w10:wrap anchorx="page" anchory="page"/>
        </v:shape>
      </w:pict>
    </w:r>
    <w:r>
      <w:rPr>
        <w:lang w:val="ru"/>
      </w:rPr>
      <w:pict>
        <v:shapetype id="_x0000_t202" coordsize="21600,21600" o:spt="202" path="m,l,21600r21600,l21600,xe">
          <v:stroke joinstyle="miter"/>
          <v:path gradientshapeok="t" o:connecttype="rect"/>
        </v:shapetype>
        <v:shape id="_x0000_s2051" type="#_x0000_t202" style="position:absolute;margin-left:71pt;margin-top:53.4pt;width:99.1pt;height:10.05pt;z-index:-251659264;mso-position-horizontal-relative:page;mso-position-vertical-relative:page" filled="f" stroked="f">
          <v:textbox inset="0,0,0,0">
            <w:txbxContent>
              <w:p w:rsidR="007E551E" w:rsidRDefault="0091635B">
                <w:pPr>
                  <w:spacing w:line="186" w:lineRule="exact"/>
                  <w:ind w:left="20"/>
                  <w:rPr>
                    <w:rFonts w:ascii="Tahoma" w:eastAsia="Tahoma" w:hAnsi="Tahoma" w:cs="Tahoma"/>
                    <w:sz w:val="16"/>
                    <w:szCs w:val="16"/>
                  </w:rPr>
                </w:pPr>
                <w:r>
                  <w:rPr>
                    <w:rFonts w:ascii="Tahoma" w:hAnsi="Tahoma"/>
                    <w:b/>
                    <w:bCs/>
                    <w:color w:val="C0C0C0"/>
                    <w:sz w:val="16"/>
                    <w:lang w:val="ru"/>
                  </w:rPr>
                  <w:t xml:space="preserve">ECDC </w:t>
                </w:r>
                <w:r>
                  <w:rPr>
                    <w:rFonts w:ascii="Tahoma" w:hAnsi="Tahoma"/>
                    <w:color w:val="C0C0C0"/>
                    <w:sz w:val="16"/>
                    <w:lang w:val="ru"/>
                  </w:rPr>
                  <w:t>TECHNICAL REPORT</w:t>
                </w:r>
              </w:p>
            </w:txbxContent>
          </v:textbox>
          <w10:wrap anchorx="page" anchory="page"/>
        </v:shape>
      </w:pict>
    </w:r>
    <w:r>
      <w:rPr>
        <w:lang w:val="ru"/>
      </w:rPr>
      <w:pict>
        <v:shape id="_x0000_s2050" type="#_x0000_t202" style="position:absolute;margin-left:181.15pt;margin-top:53.4pt;width:343.2pt;height:10.05pt;z-index:-251658240;mso-position-horizontal-relative:page;mso-position-vertical-relative:page" filled="f" stroked="f">
          <v:textbox inset="0,0,0,0">
            <w:txbxContent>
              <w:p w:rsidR="007E551E" w:rsidRDefault="0091635B">
                <w:pPr>
                  <w:spacing w:line="186" w:lineRule="exact"/>
                  <w:ind w:left="20"/>
                  <w:rPr>
                    <w:rFonts w:ascii="Tahoma" w:eastAsia="Tahoma" w:hAnsi="Tahoma" w:cs="Tahoma"/>
                    <w:sz w:val="16"/>
                    <w:szCs w:val="16"/>
                  </w:rPr>
                </w:pPr>
                <w:r w:rsidRPr="00B22A87">
                  <w:rPr>
                    <w:rFonts w:ascii="Tahoma" w:hAnsi="Tahoma"/>
                    <w:color w:val="808080"/>
                    <w:sz w:val="16"/>
                  </w:rPr>
                  <w:t>Public health management of persons having had contact with cases of novel coronavirus in the EU</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A4085"/>
    <w:multiLevelType w:val="hybridMultilevel"/>
    <w:tmpl w:val="D22C7072"/>
    <w:lvl w:ilvl="0" w:tplc="2EC6CDF0">
      <w:start w:val="1"/>
      <w:numFmt w:val="decimal"/>
      <w:lvlText w:val="%1."/>
      <w:lvlJc w:val="left"/>
      <w:pPr>
        <w:ind w:left="666" w:hanging="567"/>
      </w:pPr>
      <w:rPr>
        <w:rFonts w:ascii="Tahoma" w:eastAsia="Tahoma" w:hAnsi="Tahoma" w:hint="default"/>
        <w:w w:val="99"/>
        <w:sz w:val="18"/>
        <w:szCs w:val="18"/>
      </w:rPr>
    </w:lvl>
    <w:lvl w:ilvl="1" w:tplc="F48660B8">
      <w:start w:val="1"/>
      <w:numFmt w:val="bullet"/>
      <w:lvlText w:val="•"/>
      <w:lvlJc w:val="left"/>
      <w:pPr>
        <w:ind w:left="1538" w:hanging="567"/>
      </w:pPr>
      <w:rPr>
        <w:rFonts w:hint="default"/>
      </w:rPr>
    </w:lvl>
    <w:lvl w:ilvl="2" w:tplc="D3B8E1E0">
      <w:start w:val="1"/>
      <w:numFmt w:val="bullet"/>
      <w:lvlText w:val="•"/>
      <w:lvlJc w:val="left"/>
      <w:pPr>
        <w:ind w:left="2410" w:hanging="567"/>
      </w:pPr>
      <w:rPr>
        <w:rFonts w:hint="default"/>
      </w:rPr>
    </w:lvl>
    <w:lvl w:ilvl="3" w:tplc="F5AA3742">
      <w:start w:val="1"/>
      <w:numFmt w:val="bullet"/>
      <w:lvlText w:val="•"/>
      <w:lvlJc w:val="left"/>
      <w:pPr>
        <w:ind w:left="3282" w:hanging="567"/>
      </w:pPr>
      <w:rPr>
        <w:rFonts w:hint="default"/>
      </w:rPr>
    </w:lvl>
    <w:lvl w:ilvl="4" w:tplc="316ED96C">
      <w:start w:val="1"/>
      <w:numFmt w:val="bullet"/>
      <w:lvlText w:val="•"/>
      <w:lvlJc w:val="left"/>
      <w:pPr>
        <w:ind w:left="4154" w:hanging="567"/>
      </w:pPr>
      <w:rPr>
        <w:rFonts w:hint="default"/>
      </w:rPr>
    </w:lvl>
    <w:lvl w:ilvl="5" w:tplc="82B00974">
      <w:start w:val="1"/>
      <w:numFmt w:val="bullet"/>
      <w:lvlText w:val="•"/>
      <w:lvlJc w:val="left"/>
      <w:pPr>
        <w:ind w:left="5026" w:hanging="567"/>
      </w:pPr>
      <w:rPr>
        <w:rFonts w:hint="default"/>
      </w:rPr>
    </w:lvl>
    <w:lvl w:ilvl="6" w:tplc="0D7EF276">
      <w:start w:val="1"/>
      <w:numFmt w:val="bullet"/>
      <w:lvlText w:val="•"/>
      <w:lvlJc w:val="left"/>
      <w:pPr>
        <w:ind w:left="5898" w:hanging="567"/>
      </w:pPr>
      <w:rPr>
        <w:rFonts w:hint="default"/>
      </w:rPr>
    </w:lvl>
    <w:lvl w:ilvl="7" w:tplc="1A8CE4D6">
      <w:start w:val="1"/>
      <w:numFmt w:val="bullet"/>
      <w:lvlText w:val="•"/>
      <w:lvlJc w:val="left"/>
      <w:pPr>
        <w:ind w:left="6770" w:hanging="567"/>
      </w:pPr>
      <w:rPr>
        <w:rFonts w:hint="default"/>
      </w:rPr>
    </w:lvl>
    <w:lvl w:ilvl="8" w:tplc="8D36D122">
      <w:start w:val="1"/>
      <w:numFmt w:val="bullet"/>
      <w:lvlText w:val="•"/>
      <w:lvlJc w:val="left"/>
      <w:pPr>
        <w:ind w:left="7642" w:hanging="567"/>
      </w:pPr>
      <w:rPr>
        <w:rFonts w:hint="default"/>
      </w:rPr>
    </w:lvl>
  </w:abstractNum>
  <w:abstractNum w:abstractNumId="1" w15:restartNumberingAfterBreak="0">
    <w:nsid w:val="43067E3C"/>
    <w:multiLevelType w:val="hybridMultilevel"/>
    <w:tmpl w:val="2868675C"/>
    <w:lvl w:ilvl="0" w:tplc="9EA83ECA">
      <w:start w:val="1"/>
      <w:numFmt w:val="decimal"/>
      <w:lvlText w:val="%1."/>
      <w:lvlJc w:val="left"/>
      <w:pPr>
        <w:ind w:left="494" w:hanging="375"/>
      </w:pPr>
      <w:rPr>
        <w:rFonts w:ascii="Tahoma" w:eastAsia="Tahoma" w:hAnsi="Tahoma" w:hint="default"/>
        <w:b/>
        <w:bCs/>
        <w:color w:val="69AD22"/>
        <w:spacing w:val="1"/>
        <w:w w:val="99"/>
        <w:sz w:val="30"/>
        <w:szCs w:val="30"/>
      </w:rPr>
    </w:lvl>
    <w:lvl w:ilvl="1" w:tplc="501000BE">
      <w:start w:val="1"/>
      <w:numFmt w:val="bullet"/>
      <w:lvlText w:val="•"/>
      <w:lvlJc w:val="left"/>
      <w:pPr>
        <w:ind w:left="1385" w:hanging="375"/>
      </w:pPr>
      <w:rPr>
        <w:rFonts w:hint="default"/>
      </w:rPr>
    </w:lvl>
    <w:lvl w:ilvl="2" w:tplc="B08ECB8A">
      <w:start w:val="1"/>
      <w:numFmt w:val="bullet"/>
      <w:lvlText w:val="•"/>
      <w:lvlJc w:val="left"/>
      <w:pPr>
        <w:ind w:left="2276" w:hanging="375"/>
      </w:pPr>
      <w:rPr>
        <w:rFonts w:hint="default"/>
      </w:rPr>
    </w:lvl>
    <w:lvl w:ilvl="3" w:tplc="2AFA1408">
      <w:start w:val="1"/>
      <w:numFmt w:val="bullet"/>
      <w:lvlText w:val="•"/>
      <w:lvlJc w:val="left"/>
      <w:pPr>
        <w:ind w:left="3168" w:hanging="375"/>
      </w:pPr>
      <w:rPr>
        <w:rFonts w:hint="default"/>
      </w:rPr>
    </w:lvl>
    <w:lvl w:ilvl="4" w:tplc="D22A2F06">
      <w:start w:val="1"/>
      <w:numFmt w:val="bullet"/>
      <w:lvlText w:val="•"/>
      <w:lvlJc w:val="left"/>
      <w:pPr>
        <w:ind w:left="4059" w:hanging="375"/>
      </w:pPr>
      <w:rPr>
        <w:rFonts w:hint="default"/>
      </w:rPr>
    </w:lvl>
    <w:lvl w:ilvl="5" w:tplc="886E5A20">
      <w:start w:val="1"/>
      <w:numFmt w:val="bullet"/>
      <w:lvlText w:val="•"/>
      <w:lvlJc w:val="left"/>
      <w:pPr>
        <w:ind w:left="4950" w:hanging="375"/>
      </w:pPr>
      <w:rPr>
        <w:rFonts w:hint="default"/>
      </w:rPr>
    </w:lvl>
    <w:lvl w:ilvl="6" w:tplc="10DE8C6A">
      <w:start w:val="1"/>
      <w:numFmt w:val="bullet"/>
      <w:lvlText w:val="•"/>
      <w:lvlJc w:val="left"/>
      <w:pPr>
        <w:ind w:left="5841" w:hanging="375"/>
      </w:pPr>
      <w:rPr>
        <w:rFonts w:hint="default"/>
      </w:rPr>
    </w:lvl>
    <w:lvl w:ilvl="7" w:tplc="3D122438">
      <w:start w:val="1"/>
      <w:numFmt w:val="bullet"/>
      <w:lvlText w:val="•"/>
      <w:lvlJc w:val="left"/>
      <w:pPr>
        <w:ind w:left="6732" w:hanging="375"/>
      </w:pPr>
      <w:rPr>
        <w:rFonts w:hint="default"/>
      </w:rPr>
    </w:lvl>
    <w:lvl w:ilvl="8" w:tplc="D1FC51C6">
      <w:start w:val="1"/>
      <w:numFmt w:val="bullet"/>
      <w:lvlText w:val="•"/>
      <w:lvlJc w:val="left"/>
      <w:pPr>
        <w:ind w:left="7624" w:hanging="375"/>
      </w:pPr>
      <w:rPr>
        <w:rFonts w:hint="default"/>
      </w:rPr>
    </w:lvl>
  </w:abstractNum>
  <w:abstractNum w:abstractNumId="2" w15:restartNumberingAfterBreak="0">
    <w:nsid w:val="49B2075F"/>
    <w:multiLevelType w:val="hybridMultilevel"/>
    <w:tmpl w:val="022810B6"/>
    <w:lvl w:ilvl="0" w:tplc="856E5268">
      <w:start w:val="1"/>
      <w:numFmt w:val="bullet"/>
      <w:lvlText w:val=""/>
      <w:lvlJc w:val="left"/>
      <w:pPr>
        <w:ind w:left="402" w:hanging="284"/>
      </w:pPr>
      <w:rPr>
        <w:rFonts w:ascii="Symbol" w:eastAsia="Symbol" w:hAnsi="Symbol" w:hint="default"/>
        <w:sz w:val="18"/>
        <w:szCs w:val="18"/>
      </w:rPr>
    </w:lvl>
    <w:lvl w:ilvl="1" w:tplc="BEDC8434">
      <w:start w:val="1"/>
      <w:numFmt w:val="bullet"/>
      <w:lvlText w:val="•"/>
      <w:lvlJc w:val="left"/>
      <w:pPr>
        <w:ind w:left="1303" w:hanging="284"/>
      </w:pPr>
      <w:rPr>
        <w:rFonts w:hint="default"/>
      </w:rPr>
    </w:lvl>
    <w:lvl w:ilvl="2" w:tplc="5BB0EB0E">
      <w:start w:val="1"/>
      <w:numFmt w:val="bullet"/>
      <w:lvlText w:val="•"/>
      <w:lvlJc w:val="left"/>
      <w:pPr>
        <w:ind w:left="2203" w:hanging="284"/>
      </w:pPr>
      <w:rPr>
        <w:rFonts w:hint="default"/>
      </w:rPr>
    </w:lvl>
    <w:lvl w:ilvl="3" w:tplc="F7647B0C">
      <w:start w:val="1"/>
      <w:numFmt w:val="bullet"/>
      <w:lvlText w:val="•"/>
      <w:lvlJc w:val="left"/>
      <w:pPr>
        <w:ind w:left="3103" w:hanging="284"/>
      </w:pPr>
      <w:rPr>
        <w:rFonts w:hint="default"/>
      </w:rPr>
    </w:lvl>
    <w:lvl w:ilvl="4" w:tplc="E926EC48">
      <w:start w:val="1"/>
      <w:numFmt w:val="bullet"/>
      <w:lvlText w:val="•"/>
      <w:lvlJc w:val="left"/>
      <w:pPr>
        <w:ind w:left="4004" w:hanging="284"/>
      </w:pPr>
      <w:rPr>
        <w:rFonts w:hint="default"/>
      </w:rPr>
    </w:lvl>
    <w:lvl w:ilvl="5" w:tplc="0E8C8ECC">
      <w:start w:val="1"/>
      <w:numFmt w:val="bullet"/>
      <w:lvlText w:val="•"/>
      <w:lvlJc w:val="left"/>
      <w:pPr>
        <w:ind w:left="4904" w:hanging="284"/>
      </w:pPr>
      <w:rPr>
        <w:rFonts w:hint="default"/>
      </w:rPr>
    </w:lvl>
    <w:lvl w:ilvl="6" w:tplc="B1B6FF7E">
      <w:start w:val="1"/>
      <w:numFmt w:val="bullet"/>
      <w:lvlText w:val="•"/>
      <w:lvlJc w:val="left"/>
      <w:pPr>
        <w:ind w:left="5804" w:hanging="284"/>
      </w:pPr>
      <w:rPr>
        <w:rFonts w:hint="default"/>
      </w:rPr>
    </w:lvl>
    <w:lvl w:ilvl="7" w:tplc="0DA6F6A0">
      <w:start w:val="1"/>
      <w:numFmt w:val="bullet"/>
      <w:lvlText w:val="•"/>
      <w:lvlJc w:val="left"/>
      <w:pPr>
        <w:ind w:left="6705" w:hanging="284"/>
      </w:pPr>
      <w:rPr>
        <w:rFonts w:hint="default"/>
      </w:rPr>
    </w:lvl>
    <w:lvl w:ilvl="8" w:tplc="0F82344A">
      <w:start w:val="1"/>
      <w:numFmt w:val="bullet"/>
      <w:lvlText w:val="•"/>
      <w:lvlJc w:val="left"/>
      <w:pPr>
        <w:ind w:left="7605" w:hanging="284"/>
      </w:pPr>
      <w:rPr>
        <w:rFonts w:hint="default"/>
      </w:rPr>
    </w:lvl>
  </w:abstractNum>
  <w:abstractNum w:abstractNumId="3" w15:restartNumberingAfterBreak="0">
    <w:nsid w:val="586E416D"/>
    <w:multiLevelType w:val="hybridMultilevel"/>
    <w:tmpl w:val="59268B9A"/>
    <w:lvl w:ilvl="0" w:tplc="29E817A0">
      <w:start w:val="1"/>
      <w:numFmt w:val="bullet"/>
      <w:lvlText w:val="•"/>
      <w:lvlJc w:val="left"/>
      <w:pPr>
        <w:ind w:left="1723" w:hanging="284"/>
      </w:pPr>
      <w:rPr>
        <w:rFonts w:ascii="Tahoma" w:eastAsia="Tahoma" w:hAnsi="Tahoma" w:hint="default"/>
        <w:w w:val="99"/>
        <w:sz w:val="18"/>
        <w:szCs w:val="18"/>
      </w:rPr>
    </w:lvl>
    <w:lvl w:ilvl="1" w:tplc="A4BEBDC0">
      <w:start w:val="1"/>
      <w:numFmt w:val="bullet"/>
      <w:lvlText w:val="•"/>
      <w:lvlJc w:val="left"/>
      <w:pPr>
        <w:ind w:left="2741" w:hanging="284"/>
      </w:pPr>
      <w:rPr>
        <w:rFonts w:hint="default"/>
      </w:rPr>
    </w:lvl>
    <w:lvl w:ilvl="2" w:tplc="0E9CE72A">
      <w:start w:val="1"/>
      <w:numFmt w:val="bullet"/>
      <w:lvlText w:val="•"/>
      <w:lvlJc w:val="left"/>
      <w:pPr>
        <w:ind w:left="3759" w:hanging="284"/>
      </w:pPr>
      <w:rPr>
        <w:rFonts w:hint="default"/>
      </w:rPr>
    </w:lvl>
    <w:lvl w:ilvl="3" w:tplc="FC3E95B8">
      <w:start w:val="1"/>
      <w:numFmt w:val="bullet"/>
      <w:lvlText w:val="•"/>
      <w:lvlJc w:val="left"/>
      <w:pPr>
        <w:ind w:left="4778" w:hanging="284"/>
      </w:pPr>
      <w:rPr>
        <w:rFonts w:hint="default"/>
      </w:rPr>
    </w:lvl>
    <w:lvl w:ilvl="4" w:tplc="368E71E8">
      <w:start w:val="1"/>
      <w:numFmt w:val="bullet"/>
      <w:lvlText w:val="•"/>
      <w:lvlJc w:val="left"/>
      <w:pPr>
        <w:ind w:left="5796" w:hanging="284"/>
      </w:pPr>
      <w:rPr>
        <w:rFonts w:hint="default"/>
      </w:rPr>
    </w:lvl>
    <w:lvl w:ilvl="5" w:tplc="58F2B0D2">
      <w:start w:val="1"/>
      <w:numFmt w:val="bullet"/>
      <w:lvlText w:val="•"/>
      <w:lvlJc w:val="left"/>
      <w:pPr>
        <w:ind w:left="6814" w:hanging="284"/>
      </w:pPr>
      <w:rPr>
        <w:rFonts w:hint="default"/>
      </w:rPr>
    </w:lvl>
    <w:lvl w:ilvl="6" w:tplc="EF9E20B0">
      <w:start w:val="1"/>
      <w:numFmt w:val="bullet"/>
      <w:lvlText w:val="•"/>
      <w:lvlJc w:val="left"/>
      <w:pPr>
        <w:ind w:left="7833" w:hanging="284"/>
      </w:pPr>
      <w:rPr>
        <w:rFonts w:hint="default"/>
      </w:rPr>
    </w:lvl>
    <w:lvl w:ilvl="7" w:tplc="86A6F9DA">
      <w:start w:val="1"/>
      <w:numFmt w:val="bullet"/>
      <w:lvlText w:val="•"/>
      <w:lvlJc w:val="left"/>
      <w:pPr>
        <w:ind w:left="8851" w:hanging="284"/>
      </w:pPr>
      <w:rPr>
        <w:rFonts w:hint="default"/>
      </w:rPr>
    </w:lvl>
    <w:lvl w:ilvl="8" w:tplc="A9FA774A">
      <w:start w:val="1"/>
      <w:numFmt w:val="bullet"/>
      <w:lvlText w:val="•"/>
      <w:lvlJc w:val="left"/>
      <w:pPr>
        <w:ind w:left="9869" w:hanging="284"/>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551E"/>
    <w:rsid w:val="004C1C04"/>
    <w:rsid w:val="007E551E"/>
    <w:rsid w:val="0091635B"/>
    <w:rsid w:val="009E44E2"/>
    <w:rsid w:val="00B22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7230B4C"/>
  <w15:docId w15:val="{A840C12E-BD93-40F7-9877-1FB12476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440"/>
      <w:outlineLvl w:val="0"/>
    </w:pPr>
    <w:rPr>
      <w:rFonts w:ascii="Tahoma" w:eastAsia="Tahoma" w:hAnsi="Tahoma"/>
      <w:b/>
      <w:bCs/>
      <w:sz w:val="40"/>
      <w:szCs w:val="40"/>
    </w:rPr>
  </w:style>
  <w:style w:type="paragraph" w:styleId="Heading2">
    <w:name w:val="heading 2"/>
    <w:basedOn w:val="Normal"/>
    <w:uiPriority w:val="1"/>
    <w:qFormat/>
    <w:pPr>
      <w:ind w:left="494" w:hanging="374"/>
      <w:outlineLvl w:val="1"/>
    </w:pPr>
    <w:rPr>
      <w:rFonts w:ascii="Tahoma" w:eastAsia="Tahoma" w:hAnsi="Tahoma"/>
      <w:b/>
      <w:bCs/>
      <w:sz w:val="30"/>
      <w:szCs w:val="30"/>
    </w:rPr>
  </w:style>
  <w:style w:type="paragraph" w:styleId="Heading3">
    <w:name w:val="heading 3"/>
    <w:basedOn w:val="Normal"/>
    <w:uiPriority w:val="1"/>
    <w:qFormat/>
    <w:pPr>
      <w:ind w:left="120"/>
      <w:outlineLvl w:val="2"/>
    </w:pPr>
    <w:rPr>
      <w:rFonts w:ascii="Tahoma" w:eastAsia="Tahoma" w:hAnsi="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0"/>
      <w:ind w:left="403" w:hanging="283"/>
    </w:pPr>
    <w:rPr>
      <w:rFonts w:ascii="Tahoma" w:eastAsia="Tahoma" w:hAnsi="Tahom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ho.int/publications-detail/home-care-for-patients-with-suspected-novel-coronavirus-(ncov)-infection-presenting-with-mild-symptoms-and-management-of-contac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ecdc.europa.eu/sites/default/files/documents/infectious-diseases-transmitted-on-aircrafts-ragida-risk-assessment-guidelines.pdf" TargetMode="External"/><Relationship Id="rId2" Type="http://schemas.openxmlformats.org/officeDocument/2006/relationships/styles" Target="styles.xml"/><Relationship Id="rId16" Type="http://schemas.openxmlformats.org/officeDocument/2006/relationships/hyperlink" Target="https://www.ecdc.europa.eu/sites/default/files/documents/infectious-diseases-transmitted-on-aircrafts-ragida-risk-assessment-guidelin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ho.int/publications-detail/home-care-for-patients-with-suspected-novel-coronavirus-(ncov)-infection-presenting-with-mild-symptoms-and-management-of-contact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publications-detail/global-surveillance-for-human-infection-with-novel-coronavirus-(2019-ncov)" TargetMode="External"/><Relationship Id="rId14" Type="http://schemas.openxmlformats.org/officeDocument/2006/relationships/hyperlink" Target="https://www.who.int/publications-detail/home-care-for-patients-with-suspected-novel-coronavirus-(ncov)-infection-presenting-with-mild-symptoms-and-management-of-cont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Wilson</dc:creator>
  <cp:lastModifiedBy>Akhmetov, Yerbulan (CDC/DDPHSIS/CGH/DGHP)</cp:lastModifiedBy>
  <cp:revision>3</cp:revision>
  <dcterms:created xsi:type="dcterms:W3CDTF">2020-02-03T07:20:00Z</dcterms:created>
  <dcterms:modified xsi:type="dcterms:W3CDTF">2020-02-04T09:18:00Z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LastSaved">
    <vt:filetime>2020-02-03T00:00:00Z</vt:filetime>
  </property>
</Properties>
</file>